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135" w:rsidRPr="00101B93" w:rsidRDefault="002E3695" w:rsidP="002E3695">
      <w:pPr>
        <w:jc w:val="right"/>
        <w:rPr>
          <w:bCs/>
          <w:sz w:val="48"/>
          <w:szCs w:val="48"/>
        </w:rPr>
      </w:pPr>
      <w:r w:rsidRPr="00101B93">
        <w:rPr>
          <w:bCs/>
          <w:sz w:val="48"/>
          <w:szCs w:val="48"/>
        </w:rPr>
        <w:t xml:space="preserve">Appendix </w:t>
      </w:r>
      <w:r w:rsidR="00910497" w:rsidRPr="00101B93">
        <w:rPr>
          <w:bCs/>
          <w:sz w:val="48"/>
          <w:szCs w:val="48"/>
        </w:rPr>
        <w:t>3</w:t>
      </w:r>
    </w:p>
    <w:p w:rsidR="00716135" w:rsidRDefault="00101B93" w:rsidP="00716135">
      <w:pPr>
        <w:ind w:left="2160" w:hanging="2160"/>
        <w:rPr>
          <w:b/>
        </w:rPr>
      </w:pPr>
      <w:r>
        <w:rPr>
          <w:b/>
          <w:sz w:val="28"/>
        </w:rPr>
        <w:t xml:space="preserve">Cabinet </w:t>
      </w:r>
      <w:bookmarkStart w:id="0" w:name="_GoBack"/>
      <w:bookmarkEnd w:id="0"/>
      <w:r w:rsidR="00716135" w:rsidRPr="00D51236">
        <w:rPr>
          <w:b/>
          <w:sz w:val="28"/>
        </w:rPr>
        <w:t xml:space="preserve"> Report Risk Register –</w:t>
      </w:r>
    </w:p>
    <w:p w:rsidR="00716135" w:rsidRDefault="00716135" w:rsidP="00716135"/>
    <w:tbl>
      <w:tblPr>
        <w:tblW w:w="16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985"/>
        <w:gridCol w:w="401"/>
        <w:gridCol w:w="449"/>
        <w:gridCol w:w="24"/>
        <w:gridCol w:w="2227"/>
        <w:gridCol w:w="17"/>
        <w:gridCol w:w="2552"/>
        <w:gridCol w:w="395"/>
        <w:gridCol w:w="425"/>
        <w:gridCol w:w="4083"/>
        <w:gridCol w:w="321"/>
        <w:gridCol w:w="352"/>
        <w:gridCol w:w="352"/>
        <w:gridCol w:w="352"/>
        <w:gridCol w:w="373"/>
        <w:gridCol w:w="361"/>
        <w:gridCol w:w="348"/>
        <w:gridCol w:w="36"/>
      </w:tblGrid>
      <w:tr w:rsidR="00716135" w:rsidTr="00176E1A">
        <w:trPr>
          <w:trHeight w:val="644"/>
          <w:jc w:val="center"/>
        </w:trPr>
        <w:tc>
          <w:tcPr>
            <w:tcW w:w="1440" w:type="dxa"/>
          </w:tcPr>
          <w:p w:rsidR="00716135" w:rsidRDefault="00716135" w:rsidP="00176E1A">
            <w:pPr>
              <w:rPr>
                <w:sz w:val="20"/>
                <w:szCs w:val="20"/>
              </w:rPr>
            </w:pPr>
            <w:r>
              <w:rPr>
                <w:sz w:val="20"/>
                <w:szCs w:val="20"/>
              </w:rPr>
              <w:t>No.</w:t>
            </w:r>
          </w:p>
        </w:tc>
        <w:tc>
          <w:tcPr>
            <w:tcW w:w="1985" w:type="dxa"/>
          </w:tcPr>
          <w:p w:rsidR="00716135" w:rsidRDefault="00716135" w:rsidP="00176E1A">
            <w:pPr>
              <w:rPr>
                <w:sz w:val="20"/>
                <w:szCs w:val="20"/>
              </w:rPr>
            </w:pPr>
            <w:r>
              <w:rPr>
                <w:sz w:val="20"/>
                <w:szCs w:val="20"/>
              </w:rPr>
              <w:t xml:space="preserve">Risk Description </w:t>
            </w:r>
          </w:p>
          <w:p w:rsidR="00716135" w:rsidRDefault="00716135" w:rsidP="00176E1A">
            <w:pPr>
              <w:rPr>
                <w:sz w:val="20"/>
                <w:szCs w:val="20"/>
              </w:rPr>
            </w:pPr>
            <w:r>
              <w:rPr>
                <w:sz w:val="20"/>
                <w:szCs w:val="20"/>
              </w:rPr>
              <w:t>Link to Corporate Objectives</w:t>
            </w:r>
          </w:p>
        </w:tc>
        <w:tc>
          <w:tcPr>
            <w:tcW w:w="874" w:type="dxa"/>
            <w:gridSpan w:val="3"/>
          </w:tcPr>
          <w:p w:rsidR="00716135" w:rsidRDefault="00716135" w:rsidP="00176E1A">
            <w:pPr>
              <w:rPr>
                <w:sz w:val="20"/>
                <w:szCs w:val="20"/>
              </w:rPr>
            </w:pPr>
            <w:r>
              <w:rPr>
                <w:sz w:val="20"/>
                <w:szCs w:val="20"/>
              </w:rPr>
              <w:t>Gross Risk</w:t>
            </w:r>
          </w:p>
        </w:tc>
        <w:tc>
          <w:tcPr>
            <w:tcW w:w="2244" w:type="dxa"/>
            <w:gridSpan w:val="2"/>
          </w:tcPr>
          <w:p w:rsidR="00716135" w:rsidRDefault="00716135" w:rsidP="00176E1A">
            <w:pPr>
              <w:rPr>
                <w:sz w:val="20"/>
                <w:szCs w:val="20"/>
              </w:rPr>
            </w:pPr>
            <w:r>
              <w:rPr>
                <w:sz w:val="20"/>
                <w:szCs w:val="20"/>
              </w:rPr>
              <w:t xml:space="preserve">Cause of Risk </w:t>
            </w:r>
          </w:p>
          <w:p w:rsidR="00716135" w:rsidRDefault="00716135" w:rsidP="00176E1A">
            <w:pPr>
              <w:rPr>
                <w:sz w:val="20"/>
                <w:szCs w:val="20"/>
              </w:rPr>
            </w:pPr>
          </w:p>
        </w:tc>
        <w:tc>
          <w:tcPr>
            <w:tcW w:w="2552" w:type="dxa"/>
          </w:tcPr>
          <w:p w:rsidR="00716135" w:rsidRDefault="00716135" w:rsidP="00176E1A">
            <w:pPr>
              <w:rPr>
                <w:sz w:val="20"/>
                <w:szCs w:val="20"/>
              </w:rPr>
            </w:pPr>
            <w:r>
              <w:rPr>
                <w:sz w:val="20"/>
                <w:szCs w:val="20"/>
              </w:rPr>
              <w:t>Mitigation</w:t>
            </w:r>
          </w:p>
        </w:tc>
        <w:tc>
          <w:tcPr>
            <w:tcW w:w="820" w:type="dxa"/>
            <w:gridSpan w:val="2"/>
          </w:tcPr>
          <w:p w:rsidR="00716135" w:rsidRDefault="00716135" w:rsidP="00176E1A">
            <w:pPr>
              <w:rPr>
                <w:sz w:val="20"/>
                <w:szCs w:val="20"/>
              </w:rPr>
            </w:pPr>
            <w:r>
              <w:rPr>
                <w:sz w:val="20"/>
                <w:szCs w:val="20"/>
              </w:rPr>
              <w:t>Net Risk</w:t>
            </w:r>
          </w:p>
        </w:tc>
        <w:tc>
          <w:tcPr>
            <w:tcW w:w="4083" w:type="dxa"/>
          </w:tcPr>
          <w:p w:rsidR="00716135" w:rsidRDefault="00716135" w:rsidP="00176E1A">
            <w:pPr>
              <w:rPr>
                <w:sz w:val="20"/>
                <w:szCs w:val="20"/>
              </w:rPr>
            </w:pPr>
            <w:r>
              <w:rPr>
                <w:sz w:val="20"/>
                <w:szCs w:val="20"/>
              </w:rPr>
              <w:t xml:space="preserve">Further Management of Risk: </w:t>
            </w:r>
          </w:p>
          <w:p w:rsidR="00716135" w:rsidRDefault="00716135" w:rsidP="00176E1A">
            <w:pPr>
              <w:rPr>
                <w:sz w:val="20"/>
                <w:szCs w:val="20"/>
              </w:rPr>
            </w:pPr>
            <w:r>
              <w:rPr>
                <w:sz w:val="20"/>
                <w:szCs w:val="20"/>
              </w:rPr>
              <w:t>Transfer/Accept/Reduce/Avoid</w:t>
            </w:r>
          </w:p>
        </w:tc>
        <w:tc>
          <w:tcPr>
            <w:tcW w:w="1750" w:type="dxa"/>
            <w:gridSpan w:val="5"/>
          </w:tcPr>
          <w:p w:rsidR="00716135" w:rsidRDefault="00716135" w:rsidP="00176E1A">
            <w:pPr>
              <w:jc w:val="center"/>
              <w:rPr>
                <w:sz w:val="20"/>
                <w:szCs w:val="20"/>
              </w:rPr>
            </w:pPr>
            <w:r>
              <w:rPr>
                <w:sz w:val="20"/>
                <w:szCs w:val="20"/>
              </w:rPr>
              <w:t>Monitoring Effectiveness</w:t>
            </w:r>
          </w:p>
        </w:tc>
        <w:tc>
          <w:tcPr>
            <w:tcW w:w="745" w:type="dxa"/>
            <w:gridSpan w:val="3"/>
          </w:tcPr>
          <w:p w:rsidR="00716135" w:rsidRDefault="00716135" w:rsidP="00176E1A">
            <w:pPr>
              <w:rPr>
                <w:sz w:val="20"/>
                <w:szCs w:val="20"/>
              </w:rPr>
            </w:pPr>
            <w:r>
              <w:rPr>
                <w:sz w:val="20"/>
                <w:szCs w:val="20"/>
              </w:rPr>
              <w:t>Current Risk</w:t>
            </w:r>
          </w:p>
        </w:tc>
      </w:tr>
      <w:tr w:rsidR="00716135" w:rsidTr="00176E1A">
        <w:trPr>
          <w:trHeight w:val="644"/>
          <w:jc w:val="center"/>
        </w:trPr>
        <w:tc>
          <w:tcPr>
            <w:tcW w:w="16493" w:type="dxa"/>
            <w:gridSpan w:val="19"/>
          </w:tcPr>
          <w:p w:rsidR="00716135" w:rsidRDefault="00716135" w:rsidP="00176E1A">
            <w:pPr>
              <w:rPr>
                <w:sz w:val="20"/>
                <w:szCs w:val="20"/>
              </w:rPr>
            </w:pPr>
            <w:r>
              <w:rPr>
                <w:sz w:val="20"/>
                <w:szCs w:val="20"/>
              </w:rPr>
              <w:t>Risk Score</w:t>
            </w:r>
            <w:r>
              <w:rPr>
                <w:sz w:val="20"/>
                <w:szCs w:val="20"/>
              </w:rPr>
              <w:tab/>
            </w:r>
            <w:r>
              <w:rPr>
                <w:b/>
                <w:sz w:val="20"/>
                <w:szCs w:val="20"/>
              </w:rPr>
              <w:t>Impact Score</w:t>
            </w:r>
            <w:r>
              <w:rPr>
                <w:sz w:val="20"/>
                <w:szCs w:val="20"/>
              </w:rPr>
              <w:t xml:space="preserve">: 1 = Insignificant; 2 = Minor; 3 = Moderate; 4 = Major; 5 = Catastrophic   </w:t>
            </w:r>
            <w:r>
              <w:rPr>
                <w:sz w:val="20"/>
                <w:szCs w:val="20"/>
              </w:rPr>
              <w:tab/>
            </w:r>
            <w:r>
              <w:rPr>
                <w:sz w:val="20"/>
                <w:szCs w:val="20"/>
              </w:rPr>
              <w:tab/>
            </w:r>
            <w:r>
              <w:rPr>
                <w:b/>
                <w:sz w:val="20"/>
                <w:szCs w:val="20"/>
              </w:rPr>
              <w:t>Probability Score:</w:t>
            </w:r>
            <w:r>
              <w:rPr>
                <w:sz w:val="20"/>
                <w:szCs w:val="20"/>
              </w:rPr>
              <w:t xml:space="preserve"> 1 = Rare; 2 = Unlikely; 3 = Possible; 4 = Likely; 5 = Almost Certain</w:t>
            </w:r>
          </w:p>
        </w:tc>
      </w:tr>
      <w:tr w:rsidR="00716135" w:rsidTr="00176E1A">
        <w:trPr>
          <w:gridAfter w:val="1"/>
          <w:wAfter w:w="36" w:type="dxa"/>
          <w:trHeight w:val="1241"/>
          <w:jc w:val="center"/>
        </w:trPr>
        <w:tc>
          <w:tcPr>
            <w:tcW w:w="1440" w:type="dxa"/>
          </w:tcPr>
          <w:p w:rsidR="00716135" w:rsidRDefault="00935DF8" w:rsidP="00176E1A">
            <w:pPr>
              <w:rPr>
                <w:sz w:val="20"/>
                <w:szCs w:val="20"/>
              </w:rPr>
            </w:pPr>
            <w:r>
              <w:rPr>
                <w:sz w:val="20"/>
                <w:szCs w:val="20"/>
              </w:rPr>
              <w:t>1</w:t>
            </w:r>
          </w:p>
        </w:tc>
        <w:tc>
          <w:tcPr>
            <w:tcW w:w="1985" w:type="dxa"/>
          </w:tcPr>
          <w:p w:rsidR="00716135" w:rsidRDefault="00E526C9" w:rsidP="00E526C9">
            <w:pPr>
              <w:rPr>
                <w:sz w:val="20"/>
                <w:szCs w:val="20"/>
              </w:rPr>
            </w:pPr>
            <w:r>
              <w:rPr>
                <w:sz w:val="20"/>
                <w:szCs w:val="20"/>
              </w:rPr>
              <w:t>Inconsistency in dealing with prospective new traders</w:t>
            </w:r>
          </w:p>
        </w:tc>
        <w:tc>
          <w:tcPr>
            <w:tcW w:w="401" w:type="dxa"/>
          </w:tcPr>
          <w:p w:rsidR="00716135" w:rsidRDefault="00716135" w:rsidP="00176E1A">
            <w:pPr>
              <w:rPr>
                <w:sz w:val="20"/>
                <w:szCs w:val="20"/>
              </w:rPr>
            </w:pPr>
            <w:r>
              <w:rPr>
                <w:sz w:val="20"/>
                <w:szCs w:val="20"/>
              </w:rPr>
              <w:t>I</w:t>
            </w:r>
          </w:p>
          <w:p w:rsidR="00716135" w:rsidRDefault="00E526C9" w:rsidP="00176E1A">
            <w:pPr>
              <w:rPr>
                <w:sz w:val="20"/>
                <w:szCs w:val="20"/>
              </w:rPr>
            </w:pPr>
            <w:r>
              <w:rPr>
                <w:sz w:val="20"/>
                <w:szCs w:val="20"/>
              </w:rPr>
              <w:t>2</w:t>
            </w:r>
          </w:p>
          <w:p w:rsidR="00716135" w:rsidRDefault="00716135" w:rsidP="00176E1A">
            <w:pPr>
              <w:rPr>
                <w:sz w:val="20"/>
                <w:szCs w:val="20"/>
              </w:rPr>
            </w:pPr>
          </w:p>
        </w:tc>
        <w:tc>
          <w:tcPr>
            <w:tcW w:w="449" w:type="dxa"/>
          </w:tcPr>
          <w:p w:rsidR="00716135" w:rsidRDefault="00716135" w:rsidP="00176E1A">
            <w:pPr>
              <w:rPr>
                <w:sz w:val="20"/>
                <w:szCs w:val="20"/>
              </w:rPr>
            </w:pPr>
            <w:r>
              <w:rPr>
                <w:sz w:val="20"/>
                <w:szCs w:val="20"/>
              </w:rPr>
              <w:t>P</w:t>
            </w:r>
          </w:p>
          <w:p w:rsidR="00716135" w:rsidRDefault="00E526C9" w:rsidP="00176E1A">
            <w:pPr>
              <w:rPr>
                <w:sz w:val="20"/>
                <w:szCs w:val="20"/>
              </w:rPr>
            </w:pPr>
            <w:r>
              <w:rPr>
                <w:sz w:val="20"/>
                <w:szCs w:val="20"/>
              </w:rPr>
              <w:t>3</w:t>
            </w:r>
          </w:p>
          <w:p w:rsidR="00716135" w:rsidRDefault="00716135" w:rsidP="00176E1A">
            <w:pPr>
              <w:rPr>
                <w:sz w:val="20"/>
                <w:szCs w:val="20"/>
              </w:rPr>
            </w:pPr>
          </w:p>
        </w:tc>
        <w:tc>
          <w:tcPr>
            <w:tcW w:w="2251" w:type="dxa"/>
            <w:gridSpan w:val="2"/>
          </w:tcPr>
          <w:p w:rsidR="00716135" w:rsidRDefault="00515F04" w:rsidP="00515F04">
            <w:pPr>
              <w:rPr>
                <w:sz w:val="20"/>
                <w:szCs w:val="20"/>
              </w:rPr>
            </w:pPr>
            <w:r>
              <w:rPr>
                <w:sz w:val="20"/>
                <w:szCs w:val="20"/>
              </w:rPr>
              <w:t xml:space="preserve">Decisions on leasing can be made on the hoof which could lead to the risk of discrimination </w:t>
            </w:r>
          </w:p>
        </w:tc>
        <w:tc>
          <w:tcPr>
            <w:tcW w:w="2569" w:type="dxa"/>
            <w:gridSpan w:val="2"/>
          </w:tcPr>
          <w:p w:rsidR="00716135" w:rsidRDefault="00515F04" w:rsidP="00176E1A">
            <w:pPr>
              <w:rPr>
                <w:sz w:val="20"/>
                <w:szCs w:val="20"/>
              </w:rPr>
            </w:pPr>
            <w:r>
              <w:rPr>
                <w:sz w:val="20"/>
                <w:szCs w:val="20"/>
              </w:rPr>
              <w:t>Set out clear strategy guidelines, consult with tenants and get their  acceptance</w:t>
            </w:r>
          </w:p>
        </w:tc>
        <w:tc>
          <w:tcPr>
            <w:tcW w:w="395" w:type="dxa"/>
          </w:tcPr>
          <w:p w:rsidR="00716135" w:rsidRDefault="00716135" w:rsidP="00176E1A">
            <w:pPr>
              <w:rPr>
                <w:sz w:val="20"/>
                <w:szCs w:val="20"/>
              </w:rPr>
            </w:pPr>
            <w:r>
              <w:rPr>
                <w:sz w:val="20"/>
                <w:szCs w:val="20"/>
              </w:rPr>
              <w:t>I</w:t>
            </w:r>
          </w:p>
          <w:p w:rsidR="00716135" w:rsidRDefault="00515F04" w:rsidP="00176E1A">
            <w:pPr>
              <w:rPr>
                <w:sz w:val="20"/>
                <w:szCs w:val="20"/>
              </w:rPr>
            </w:pPr>
            <w:r>
              <w:rPr>
                <w:sz w:val="20"/>
                <w:szCs w:val="20"/>
              </w:rPr>
              <w:t>2</w:t>
            </w:r>
          </w:p>
          <w:p w:rsidR="00716135" w:rsidRDefault="00716135" w:rsidP="00176E1A">
            <w:pPr>
              <w:rPr>
                <w:sz w:val="20"/>
                <w:szCs w:val="20"/>
              </w:rPr>
            </w:pPr>
          </w:p>
        </w:tc>
        <w:tc>
          <w:tcPr>
            <w:tcW w:w="425" w:type="dxa"/>
          </w:tcPr>
          <w:p w:rsidR="00716135" w:rsidRDefault="00716135" w:rsidP="00176E1A">
            <w:pPr>
              <w:rPr>
                <w:sz w:val="20"/>
                <w:szCs w:val="20"/>
              </w:rPr>
            </w:pPr>
            <w:r>
              <w:rPr>
                <w:sz w:val="20"/>
                <w:szCs w:val="20"/>
              </w:rPr>
              <w:t>P</w:t>
            </w:r>
          </w:p>
          <w:p w:rsidR="00716135" w:rsidRDefault="00515F04" w:rsidP="00176E1A">
            <w:pPr>
              <w:rPr>
                <w:sz w:val="20"/>
                <w:szCs w:val="20"/>
              </w:rPr>
            </w:pPr>
            <w:r>
              <w:rPr>
                <w:sz w:val="20"/>
                <w:szCs w:val="20"/>
              </w:rPr>
              <w:t>3</w:t>
            </w:r>
          </w:p>
          <w:p w:rsidR="00716135" w:rsidRDefault="00716135" w:rsidP="00176E1A">
            <w:pPr>
              <w:rPr>
                <w:sz w:val="20"/>
                <w:szCs w:val="20"/>
              </w:rPr>
            </w:pPr>
          </w:p>
        </w:tc>
        <w:tc>
          <w:tcPr>
            <w:tcW w:w="4083" w:type="dxa"/>
          </w:tcPr>
          <w:p w:rsidR="00716135" w:rsidRDefault="00065807" w:rsidP="00176E1A">
            <w:pPr>
              <w:rPr>
                <w:sz w:val="20"/>
                <w:szCs w:val="20"/>
              </w:rPr>
            </w:pPr>
            <w:r>
              <w:rPr>
                <w:sz w:val="20"/>
                <w:szCs w:val="20"/>
              </w:rPr>
              <w:t>Ensure that the strategy is being followed and reviewed at periodic intervals</w:t>
            </w:r>
          </w:p>
        </w:tc>
        <w:tc>
          <w:tcPr>
            <w:tcW w:w="321" w:type="dxa"/>
          </w:tcPr>
          <w:p w:rsidR="00716135" w:rsidRDefault="00716135" w:rsidP="00176E1A">
            <w:pPr>
              <w:rPr>
                <w:sz w:val="20"/>
                <w:szCs w:val="20"/>
              </w:rPr>
            </w:pPr>
          </w:p>
        </w:tc>
        <w:tc>
          <w:tcPr>
            <w:tcW w:w="352" w:type="dxa"/>
          </w:tcPr>
          <w:p w:rsidR="00716135" w:rsidRDefault="00716135" w:rsidP="00176E1A">
            <w:pPr>
              <w:rPr>
                <w:sz w:val="20"/>
                <w:szCs w:val="20"/>
              </w:rPr>
            </w:pPr>
          </w:p>
        </w:tc>
        <w:tc>
          <w:tcPr>
            <w:tcW w:w="352" w:type="dxa"/>
          </w:tcPr>
          <w:p w:rsidR="00716135" w:rsidRDefault="00716135" w:rsidP="00176E1A">
            <w:pPr>
              <w:rPr>
                <w:sz w:val="20"/>
                <w:szCs w:val="20"/>
              </w:rPr>
            </w:pPr>
          </w:p>
        </w:tc>
        <w:tc>
          <w:tcPr>
            <w:tcW w:w="352" w:type="dxa"/>
          </w:tcPr>
          <w:p w:rsidR="00716135" w:rsidRDefault="00716135" w:rsidP="00176E1A">
            <w:pPr>
              <w:rPr>
                <w:sz w:val="20"/>
                <w:szCs w:val="20"/>
              </w:rPr>
            </w:pPr>
          </w:p>
        </w:tc>
        <w:tc>
          <w:tcPr>
            <w:tcW w:w="373" w:type="dxa"/>
          </w:tcPr>
          <w:p w:rsidR="00716135" w:rsidRDefault="00716135" w:rsidP="00176E1A">
            <w:pPr>
              <w:rPr>
                <w:sz w:val="20"/>
                <w:szCs w:val="20"/>
              </w:rPr>
            </w:pPr>
          </w:p>
        </w:tc>
        <w:tc>
          <w:tcPr>
            <w:tcW w:w="361" w:type="dxa"/>
          </w:tcPr>
          <w:p w:rsidR="00716135" w:rsidRDefault="00716135" w:rsidP="00176E1A">
            <w:pPr>
              <w:rPr>
                <w:sz w:val="20"/>
                <w:szCs w:val="20"/>
              </w:rPr>
            </w:pPr>
          </w:p>
        </w:tc>
        <w:tc>
          <w:tcPr>
            <w:tcW w:w="348" w:type="dxa"/>
          </w:tcPr>
          <w:p w:rsidR="00716135" w:rsidRDefault="00716135" w:rsidP="00176E1A">
            <w:pPr>
              <w:rPr>
                <w:sz w:val="20"/>
                <w:szCs w:val="20"/>
              </w:rPr>
            </w:pPr>
          </w:p>
        </w:tc>
      </w:tr>
      <w:tr w:rsidR="00716135" w:rsidTr="00176E1A">
        <w:trPr>
          <w:gridAfter w:val="1"/>
          <w:wAfter w:w="36" w:type="dxa"/>
          <w:trHeight w:val="1241"/>
          <w:jc w:val="center"/>
        </w:trPr>
        <w:tc>
          <w:tcPr>
            <w:tcW w:w="1440" w:type="dxa"/>
          </w:tcPr>
          <w:p w:rsidR="00716135" w:rsidRDefault="00935DF8" w:rsidP="00176E1A">
            <w:pPr>
              <w:rPr>
                <w:sz w:val="20"/>
                <w:szCs w:val="20"/>
              </w:rPr>
            </w:pPr>
            <w:r>
              <w:rPr>
                <w:sz w:val="20"/>
                <w:szCs w:val="20"/>
              </w:rPr>
              <w:t>2</w:t>
            </w:r>
          </w:p>
        </w:tc>
        <w:tc>
          <w:tcPr>
            <w:tcW w:w="1985" w:type="dxa"/>
          </w:tcPr>
          <w:p w:rsidR="00716135" w:rsidRDefault="00E526C9" w:rsidP="00E526C9">
            <w:pPr>
              <w:rPr>
                <w:sz w:val="20"/>
                <w:szCs w:val="20"/>
              </w:rPr>
            </w:pPr>
            <w:r>
              <w:rPr>
                <w:sz w:val="20"/>
                <w:szCs w:val="20"/>
              </w:rPr>
              <w:t>Inappropriate tenant mix</w:t>
            </w:r>
          </w:p>
        </w:tc>
        <w:tc>
          <w:tcPr>
            <w:tcW w:w="401" w:type="dxa"/>
          </w:tcPr>
          <w:p w:rsidR="00716135" w:rsidRDefault="00E526C9" w:rsidP="00176E1A">
            <w:pPr>
              <w:rPr>
                <w:sz w:val="20"/>
                <w:szCs w:val="20"/>
              </w:rPr>
            </w:pPr>
            <w:r>
              <w:rPr>
                <w:sz w:val="20"/>
                <w:szCs w:val="20"/>
              </w:rPr>
              <w:t>2</w:t>
            </w:r>
          </w:p>
          <w:p w:rsidR="00716135" w:rsidRDefault="00716135" w:rsidP="00176E1A">
            <w:pPr>
              <w:rPr>
                <w:sz w:val="20"/>
                <w:szCs w:val="20"/>
              </w:rPr>
            </w:pPr>
          </w:p>
        </w:tc>
        <w:tc>
          <w:tcPr>
            <w:tcW w:w="449" w:type="dxa"/>
          </w:tcPr>
          <w:p w:rsidR="00716135" w:rsidRDefault="00E526C9" w:rsidP="00176E1A">
            <w:pPr>
              <w:rPr>
                <w:sz w:val="20"/>
                <w:szCs w:val="20"/>
              </w:rPr>
            </w:pPr>
            <w:r>
              <w:rPr>
                <w:sz w:val="20"/>
                <w:szCs w:val="20"/>
              </w:rPr>
              <w:t>3</w:t>
            </w:r>
          </w:p>
        </w:tc>
        <w:tc>
          <w:tcPr>
            <w:tcW w:w="2251" w:type="dxa"/>
            <w:gridSpan w:val="2"/>
          </w:tcPr>
          <w:p w:rsidR="00716135" w:rsidRDefault="00515F04" w:rsidP="00515F04">
            <w:pPr>
              <w:rPr>
                <w:sz w:val="20"/>
                <w:szCs w:val="20"/>
              </w:rPr>
            </w:pPr>
            <w:r>
              <w:rPr>
                <w:sz w:val="20"/>
                <w:szCs w:val="20"/>
              </w:rPr>
              <w:t xml:space="preserve">Inappropriate traders are attracted to the market, leading to a disjointed </w:t>
            </w:r>
            <w:r w:rsidR="00065807">
              <w:rPr>
                <w:sz w:val="20"/>
                <w:szCs w:val="20"/>
              </w:rPr>
              <w:t xml:space="preserve">consumer mix </w:t>
            </w:r>
          </w:p>
        </w:tc>
        <w:tc>
          <w:tcPr>
            <w:tcW w:w="2569" w:type="dxa"/>
            <w:gridSpan w:val="2"/>
          </w:tcPr>
          <w:p w:rsidR="00065807" w:rsidRDefault="00065807" w:rsidP="00176E1A">
            <w:pPr>
              <w:rPr>
                <w:sz w:val="20"/>
                <w:szCs w:val="20"/>
              </w:rPr>
            </w:pPr>
            <w:r>
              <w:rPr>
                <w:sz w:val="20"/>
                <w:szCs w:val="20"/>
              </w:rPr>
              <w:t>Set out and maintain a clear vision on tenant mix</w:t>
            </w:r>
          </w:p>
          <w:p w:rsidR="00716135" w:rsidRDefault="00716135" w:rsidP="00176E1A">
            <w:pPr>
              <w:rPr>
                <w:sz w:val="20"/>
                <w:szCs w:val="20"/>
              </w:rPr>
            </w:pPr>
          </w:p>
        </w:tc>
        <w:tc>
          <w:tcPr>
            <w:tcW w:w="395" w:type="dxa"/>
          </w:tcPr>
          <w:p w:rsidR="00716135" w:rsidRDefault="00515F04" w:rsidP="00176E1A">
            <w:pPr>
              <w:rPr>
                <w:sz w:val="20"/>
                <w:szCs w:val="20"/>
              </w:rPr>
            </w:pPr>
            <w:r>
              <w:rPr>
                <w:sz w:val="20"/>
                <w:szCs w:val="20"/>
              </w:rPr>
              <w:t>2</w:t>
            </w:r>
          </w:p>
          <w:p w:rsidR="00716135" w:rsidRDefault="00716135" w:rsidP="00176E1A">
            <w:pPr>
              <w:rPr>
                <w:sz w:val="20"/>
                <w:szCs w:val="20"/>
              </w:rPr>
            </w:pPr>
          </w:p>
        </w:tc>
        <w:tc>
          <w:tcPr>
            <w:tcW w:w="425" w:type="dxa"/>
          </w:tcPr>
          <w:p w:rsidR="00716135" w:rsidRDefault="00515F04" w:rsidP="00176E1A">
            <w:pPr>
              <w:rPr>
                <w:sz w:val="20"/>
                <w:szCs w:val="20"/>
              </w:rPr>
            </w:pPr>
            <w:r>
              <w:rPr>
                <w:sz w:val="20"/>
                <w:szCs w:val="20"/>
              </w:rPr>
              <w:t>3</w:t>
            </w:r>
          </w:p>
          <w:p w:rsidR="00716135" w:rsidRDefault="00716135" w:rsidP="00176E1A">
            <w:pPr>
              <w:rPr>
                <w:sz w:val="20"/>
                <w:szCs w:val="20"/>
              </w:rPr>
            </w:pPr>
          </w:p>
        </w:tc>
        <w:tc>
          <w:tcPr>
            <w:tcW w:w="4083" w:type="dxa"/>
          </w:tcPr>
          <w:p w:rsidR="00716135" w:rsidRDefault="00CE39F4" w:rsidP="00176E1A">
            <w:pPr>
              <w:rPr>
                <w:sz w:val="20"/>
                <w:szCs w:val="20"/>
              </w:rPr>
            </w:pPr>
            <w:r>
              <w:rPr>
                <w:sz w:val="20"/>
                <w:szCs w:val="20"/>
              </w:rPr>
              <w:t>Prioritise an</w:t>
            </w:r>
            <w:r w:rsidR="00065807">
              <w:rPr>
                <w:sz w:val="20"/>
                <w:szCs w:val="20"/>
              </w:rPr>
              <w:t xml:space="preserve"> order of who we want to attract</w:t>
            </w:r>
            <w:r>
              <w:rPr>
                <w:sz w:val="20"/>
                <w:szCs w:val="20"/>
              </w:rPr>
              <w:t xml:space="preserve"> focussed on traders who will support the evening economy ambition.</w:t>
            </w:r>
          </w:p>
        </w:tc>
        <w:tc>
          <w:tcPr>
            <w:tcW w:w="321" w:type="dxa"/>
          </w:tcPr>
          <w:p w:rsidR="00716135" w:rsidRDefault="00716135" w:rsidP="00176E1A">
            <w:pPr>
              <w:rPr>
                <w:sz w:val="20"/>
                <w:szCs w:val="20"/>
              </w:rPr>
            </w:pPr>
          </w:p>
        </w:tc>
        <w:tc>
          <w:tcPr>
            <w:tcW w:w="352" w:type="dxa"/>
          </w:tcPr>
          <w:p w:rsidR="00716135" w:rsidRDefault="00716135" w:rsidP="00176E1A">
            <w:pPr>
              <w:rPr>
                <w:sz w:val="20"/>
                <w:szCs w:val="20"/>
              </w:rPr>
            </w:pPr>
          </w:p>
        </w:tc>
        <w:tc>
          <w:tcPr>
            <w:tcW w:w="352" w:type="dxa"/>
          </w:tcPr>
          <w:p w:rsidR="00716135" w:rsidRDefault="00716135" w:rsidP="00176E1A">
            <w:pPr>
              <w:rPr>
                <w:sz w:val="20"/>
                <w:szCs w:val="20"/>
              </w:rPr>
            </w:pPr>
          </w:p>
        </w:tc>
        <w:tc>
          <w:tcPr>
            <w:tcW w:w="352" w:type="dxa"/>
          </w:tcPr>
          <w:p w:rsidR="00716135" w:rsidRDefault="00716135" w:rsidP="00176E1A">
            <w:pPr>
              <w:rPr>
                <w:sz w:val="20"/>
                <w:szCs w:val="20"/>
              </w:rPr>
            </w:pPr>
          </w:p>
        </w:tc>
        <w:tc>
          <w:tcPr>
            <w:tcW w:w="373" w:type="dxa"/>
          </w:tcPr>
          <w:p w:rsidR="00716135" w:rsidRDefault="00716135" w:rsidP="00176E1A">
            <w:pPr>
              <w:rPr>
                <w:sz w:val="20"/>
                <w:szCs w:val="20"/>
              </w:rPr>
            </w:pPr>
          </w:p>
        </w:tc>
        <w:tc>
          <w:tcPr>
            <w:tcW w:w="361" w:type="dxa"/>
          </w:tcPr>
          <w:p w:rsidR="00716135" w:rsidRDefault="00716135" w:rsidP="00176E1A">
            <w:pPr>
              <w:rPr>
                <w:sz w:val="20"/>
                <w:szCs w:val="20"/>
              </w:rPr>
            </w:pPr>
          </w:p>
        </w:tc>
        <w:tc>
          <w:tcPr>
            <w:tcW w:w="348" w:type="dxa"/>
          </w:tcPr>
          <w:p w:rsidR="00716135" w:rsidRDefault="00716135" w:rsidP="00176E1A">
            <w:pPr>
              <w:rPr>
                <w:sz w:val="20"/>
                <w:szCs w:val="20"/>
              </w:rPr>
            </w:pPr>
          </w:p>
        </w:tc>
      </w:tr>
      <w:tr w:rsidR="00716135" w:rsidTr="00176E1A">
        <w:trPr>
          <w:gridAfter w:val="1"/>
          <w:wAfter w:w="36" w:type="dxa"/>
          <w:trHeight w:val="1241"/>
          <w:jc w:val="center"/>
        </w:trPr>
        <w:tc>
          <w:tcPr>
            <w:tcW w:w="1440" w:type="dxa"/>
          </w:tcPr>
          <w:p w:rsidR="00716135" w:rsidRDefault="00935DF8" w:rsidP="00176E1A">
            <w:pPr>
              <w:rPr>
                <w:sz w:val="20"/>
                <w:szCs w:val="20"/>
              </w:rPr>
            </w:pPr>
            <w:r>
              <w:rPr>
                <w:sz w:val="20"/>
                <w:szCs w:val="20"/>
              </w:rPr>
              <w:t>3</w:t>
            </w:r>
          </w:p>
        </w:tc>
        <w:tc>
          <w:tcPr>
            <w:tcW w:w="1985" w:type="dxa"/>
          </w:tcPr>
          <w:p w:rsidR="00716135" w:rsidRDefault="00E526C9" w:rsidP="00176E1A">
            <w:pPr>
              <w:rPr>
                <w:sz w:val="20"/>
                <w:szCs w:val="20"/>
              </w:rPr>
            </w:pPr>
            <w:r>
              <w:rPr>
                <w:sz w:val="20"/>
                <w:szCs w:val="20"/>
              </w:rPr>
              <w:t>Potential drop in general standards</w:t>
            </w:r>
          </w:p>
        </w:tc>
        <w:tc>
          <w:tcPr>
            <w:tcW w:w="401" w:type="dxa"/>
          </w:tcPr>
          <w:p w:rsidR="00716135" w:rsidRDefault="00E526C9" w:rsidP="00176E1A">
            <w:pPr>
              <w:rPr>
                <w:sz w:val="20"/>
                <w:szCs w:val="20"/>
              </w:rPr>
            </w:pPr>
            <w:r>
              <w:rPr>
                <w:sz w:val="20"/>
                <w:szCs w:val="20"/>
              </w:rPr>
              <w:t>2</w:t>
            </w:r>
          </w:p>
        </w:tc>
        <w:tc>
          <w:tcPr>
            <w:tcW w:w="449" w:type="dxa"/>
          </w:tcPr>
          <w:p w:rsidR="00716135" w:rsidRDefault="00E526C9" w:rsidP="00176E1A">
            <w:pPr>
              <w:rPr>
                <w:sz w:val="20"/>
                <w:szCs w:val="20"/>
              </w:rPr>
            </w:pPr>
            <w:r>
              <w:rPr>
                <w:sz w:val="20"/>
                <w:szCs w:val="20"/>
              </w:rPr>
              <w:t>3</w:t>
            </w:r>
          </w:p>
        </w:tc>
        <w:tc>
          <w:tcPr>
            <w:tcW w:w="2251" w:type="dxa"/>
            <w:gridSpan w:val="2"/>
          </w:tcPr>
          <w:p w:rsidR="00716135" w:rsidRDefault="00515F04" w:rsidP="00176E1A">
            <w:pPr>
              <w:rPr>
                <w:sz w:val="20"/>
                <w:szCs w:val="20"/>
              </w:rPr>
            </w:pPr>
            <w:r>
              <w:rPr>
                <w:sz w:val="20"/>
                <w:szCs w:val="20"/>
              </w:rPr>
              <w:t>We attract traders with low service and operational standards</w:t>
            </w:r>
          </w:p>
        </w:tc>
        <w:tc>
          <w:tcPr>
            <w:tcW w:w="2569" w:type="dxa"/>
            <w:gridSpan w:val="2"/>
          </w:tcPr>
          <w:p w:rsidR="00716135" w:rsidRDefault="00515F04" w:rsidP="00065807">
            <w:pPr>
              <w:rPr>
                <w:sz w:val="20"/>
                <w:szCs w:val="20"/>
              </w:rPr>
            </w:pPr>
            <w:r>
              <w:rPr>
                <w:sz w:val="20"/>
                <w:szCs w:val="20"/>
              </w:rPr>
              <w:t>Set clear guideli</w:t>
            </w:r>
            <w:r w:rsidR="00CE39F4">
              <w:rPr>
                <w:sz w:val="20"/>
                <w:szCs w:val="20"/>
              </w:rPr>
              <w:t>nes through the operations strategy</w:t>
            </w:r>
            <w:r>
              <w:rPr>
                <w:sz w:val="20"/>
                <w:szCs w:val="20"/>
              </w:rPr>
              <w:t xml:space="preserve"> of the service standard expectations.</w:t>
            </w:r>
            <w:r w:rsidR="00CE39F4">
              <w:rPr>
                <w:sz w:val="20"/>
                <w:szCs w:val="20"/>
              </w:rPr>
              <w:t xml:space="preserve"> The leasing strategy contains recommended target operators.</w:t>
            </w:r>
          </w:p>
        </w:tc>
        <w:tc>
          <w:tcPr>
            <w:tcW w:w="395" w:type="dxa"/>
          </w:tcPr>
          <w:p w:rsidR="00716135" w:rsidRDefault="00515F04" w:rsidP="00176E1A">
            <w:pPr>
              <w:rPr>
                <w:sz w:val="20"/>
                <w:szCs w:val="20"/>
              </w:rPr>
            </w:pPr>
            <w:r>
              <w:rPr>
                <w:sz w:val="20"/>
                <w:szCs w:val="20"/>
              </w:rPr>
              <w:t>2</w:t>
            </w:r>
          </w:p>
        </w:tc>
        <w:tc>
          <w:tcPr>
            <w:tcW w:w="425" w:type="dxa"/>
          </w:tcPr>
          <w:p w:rsidR="00716135" w:rsidRDefault="00515F04" w:rsidP="00176E1A">
            <w:pPr>
              <w:rPr>
                <w:sz w:val="20"/>
                <w:szCs w:val="20"/>
              </w:rPr>
            </w:pPr>
            <w:r>
              <w:rPr>
                <w:sz w:val="20"/>
                <w:szCs w:val="20"/>
              </w:rPr>
              <w:t>3</w:t>
            </w:r>
          </w:p>
        </w:tc>
        <w:tc>
          <w:tcPr>
            <w:tcW w:w="4083" w:type="dxa"/>
          </w:tcPr>
          <w:p w:rsidR="00716135" w:rsidRDefault="00065807" w:rsidP="00065807">
            <w:pPr>
              <w:rPr>
                <w:sz w:val="20"/>
                <w:szCs w:val="20"/>
              </w:rPr>
            </w:pPr>
            <w:r>
              <w:rPr>
                <w:sz w:val="20"/>
                <w:szCs w:val="20"/>
              </w:rPr>
              <w:t>Manage standards</w:t>
            </w:r>
            <w:r w:rsidR="00CE39F4">
              <w:rPr>
                <w:sz w:val="20"/>
                <w:szCs w:val="20"/>
              </w:rPr>
              <w:t xml:space="preserve"> through marketing of units</w:t>
            </w:r>
            <w:r>
              <w:rPr>
                <w:sz w:val="20"/>
                <w:szCs w:val="20"/>
              </w:rPr>
              <w:t xml:space="preserve"> to prevent a drop in levers which could le</w:t>
            </w:r>
            <w:r w:rsidR="00CE39F4">
              <w:rPr>
                <w:sz w:val="20"/>
                <w:szCs w:val="20"/>
              </w:rPr>
              <w:t>ad to higher turnover of traders</w:t>
            </w:r>
          </w:p>
        </w:tc>
        <w:tc>
          <w:tcPr>
            <w:tcW w:w="321" w:type="dxa"/>
          </w:tcPr>
          <w:p w:rsidR="00716135" w:rsidRDefault="00716135" w:rsidP="00176E1A">
            <w:pPr>
              <w:rPr>
                <w:sz w:val="20"/>
                <w:szCs w:val="20"/>
              </w:rPr>
            </w:pPr>
          </w:p>
        </w:tc>
        <w:tc>
          <w:tcPr>
            <w:tcW w:w="352" w:type="dxa"/>
          </w:tcPr>
          <w:p w:rsidR="00716135" w:rsidRDefault="00716135" w:rsidP="00176E1A">
            <w:pPr>
              <w:rPr>
                <w:sz w:val="20"/>
                <w:szCs w:val="20"/>
              </w:rPr>
            </w:pPr>
          </w:p>
        </w:tc>
        <w:tc>
          <w:tcPr>
            <w:tcW w:w="352" w:type="dxa"/>
          </w:tcPr>
          <w:p w:rsidR="00716135" w:rsidRDefault="00716135" w:rsidP="00176E1A">
            <w:pPr>
              <w:rPr>
                <w:sz w:val="20"/>
                <w:szCs w:val="20"/>
              </w:rPr>
            </w:pPr>
          </w:p>
        </w:tc>
        <w:tc>
          <w:tcPr>
            <w:tcW w:w="352" w:type="dxa"/>
          </w:tcPr>
          <w:p w:rsidR="00716135" w:rsidRDefault="00716135" w:rsidP="00176E1A">
            <w:pPr>
              <w:rPr>
                <w:sz w:val="20"/>
                <w:szCs w:val="20"/>
              </w:rPr>
            </w:pPr>
          </w:p>
        </w:tc>
        <w:tc>
          <w:tcPr>
            <w:tcW w:w="373" w:type="dxa"/>
          </w:tcPr>
          <w:p w:rsidR="00716135" w:rsidRDefault="00716135" w:rsidP="00176E1A">
            <w:pPr>
              <w:rPr>
                <w:sz w:val="20"/>
                <w:szCs w:val="20"/>
              </w:rPr>
            </w:pPr>
          </w:p>
        </w:tc>
        <w:tc>
          <w:tcPr>
            <w:tcW w:w="361" w:type="dxa"/>
          </w:tcPr>
          <w:p w:rsidR="00716135" w:rsidRDefault="00716135" w:rsidP="00176E1A">
            <w:pPr>
              <w:rPr>
                <w:sz w:val="20"/>
                <w:szCs w:val="20"/>
              </w:rPr>
            </w:pPr>
          </w:p>
        </w:tc>
        <w:tc>
          <w:tcPr>
            <w:tcW w:w="348" w:type="dxa"/>
          </w:tcPr>
          <w:p w:rsidR="00716135" w:rsidRDefault="00716135" w:rsidP="00176E1A">
            <w:pPr>
              <w:rPr>
                <w:sz w:val="20"/>
                <w:szCs w:val="20"/>
              </w:rPr>
            </w:pPr>
          </w:p>
        </w:tc>
      </w:tr>
      <w:tr w:rsidR="00CE39F4" w:rsidTr="00176E1A">
        <w:trPr>
          <w:gridAfter w:val="1"/>
          <w:wAfter w:w="36" w:type="dxa"/>
          <w:trHeight w:val="1241"/>
          <w:jc w:val="center"/>
        </w:trPr>
        <w:tc>
          <w:tcPr>
            <w:tcW w:w="1440" w:type="dxa"/>
          </w:tcPr>
          <w:p w:rsidR="00CE39F4" w:rsidRDefault="00CE39F4" w:rsidP="00176E1A">
            <w:pPr>
              <w:rPr>
                <w:sz w:val="20"/>
                <w:szCs w:val="20"/>
              </w:rPr>
            </w:pPr>
            <w:r>
              <w:rPr>
                <w:sz w:val="20"/>
                <w:szCs w:val="20"/>
              </w:rPr>
              <w:t>4</w:t>
            </w:r>
          </w:p>
        </w:tc>
        <w:tc>
          <w:tcPr>
            <w:tcW w:w="1985" w:type="dxa"/>
          </w:tcPr>
          <w:p w:rsidR="00CE39F4" w:rsidRDefault="00CE39F4" w:rsidP="00176E1A">
            <w:pPr>
              <w:rPr>
                <w:sz w:val="20"/>
                <w:szCs w:val="20"/>
              </w:rPr>
            </w:pPr>
            <w:r>
              <w:rPr>
                <w:sz w:val="20"/>
                <w:szCs w:val="20"/>
              </w:rPr>
              <w:t>Lack of support for later opening from Traders</w:t>
            </w:r>
          </w:p>
        </w:tc>
        <w:tc>
          <w:tcPr>
            <w:tcW w:w="401" w:type="dxa"/>
          </w:tcPr>
          <w:p w:rsidR="00CE39F4" w:rsidRDefault="00CE39F4" w:rsidP="00176E1A">
            <w:pPr>
              <w:rPr>
                <w:sz w:val="20"/>
                <w:szCs w:val="20"/>
              </w:rPr>
            </w:pPr>
            <w:r>
              <w:rPr>
                <w:sz w:val="20"/>
                <w:szCs w:val="20"/>
              </w:rPr>
              <w:t>3</w:t>
            </w:r>
          </w:p>
        </w:tc>
        <w:tc>
          <w:tcPr>
            <w:tcW w:w="449" w:type="dxa"/>
          </w:tcPr>
          <w:p w:rsidR="00CE39F4" w:rsidRDefault="00CE39F4" w:rsidP="00176E1A">
            <w:pPr>
              <w:rPr>
                <w:sz w:val="20"/>
                <w:szCs w:val="20"/>
              </w:rPr>
            </w:pPr>
            <w:r>
              <w:rPr>
                <w:sz w:val="20"/>
                <w:szCs w:val="20"/>
              </w:rPr>
              <w:t>3</w:t>
            </w:r>
          </w:p>
        </w:tc>
        <w:tc>
          <w:tcPr>
            <w:tcW w:w="2251" w:type="dxa"/>
            <w:gridSpan w:val="2"/>
          </w:tcPr>
          <w:p w:rsidR="00CE39F4" w:rsidRDefault="00CE39F4" w:rsidP="00176E1A">
            <w:pPr>
              <w:rPr>
                <w:sz w:val="20"/>
                <w:szCs w:val="20"/>
              </w:rPr>
            </w:pPr>
            <w:r>
              <w:rPr>
                <w:sz w:val="20"/>
                <w:szCs w:val="20"/>
              </w:rPr>
              <w:t>To establish the market as part of the evening economy in Oxford it is essential traders are involved</w:t>
            </w:r>
          </w:p>
        </w:tc>
        <w:tc>
          <w:tcPr>
            <w:tcW w:w="2569" w:type="dxa"/>
            <w:gridSpan w:val="2"/>
          </w:tcPr>
          <w:p w:rsidR="00CE39F4" w:rsidRDefault="00CE39F4" w:rsidP="00065807">
            <w:pPr>
              <w:rPr>
                <w:sz w:val="20"/>
                <w:szCs w:val="20"/>
              </w:rPr>
            </w:pPr>
            <w:r>
              <w:rPr>
                <w:sz w:val="20"/>
                <w:szCs w:val="20"/>
              </w:rPr>
              <w:t>Provision of an evening anchor tenant in the form of Tap Social as well as a robust social media marketing plan</w:t>
            </w:r>
          </w:p>
        </w:tc>
        <w:tc>
          <w:tcPr>
            <w:tcW w:w="395" w:type="dxa"/>
          </w:tcPr>
          <w:p w:rsidR="00CE39F4" w:rsidRDefault="008A55BD" w:rsidP="00176E1A">
            <w:pPr>
              <w:rPr>
                <w:sz w:val="20"/>
                <w:szCs w:val="20"/>
              </w:rPr>
            </w:pPr>
            <w:r>
              <w:rPr>
                <w:sz w:val="20"/>
                <w:szCs w:val="20"/>
              </w:rPr>
              <w:t>3</w:t>
            </w:r>
          </w:p>
        </w:tc>
        <w:tc>
          <w:tcPr>
            <w:tcW w:w="425" w:type="dxa"/>
          </w:tcPr>
          <w:p w:rsidR="00CE39F4" w:rsidRDefault="008A55BD" w:rsidP="00176E1A">
            <w:pPr>
              <w:rPr>
                <w:sz w:val="20"/>
                <w:szCs w:val="20"/>
              </w:rPr>
            </w:pPr>
            <w:r>
              <w:rPr>
                <w:sz w:val="20"/>
                <w:szCs w:val="20"/>
              </w:rPr>
              <w:t>3</w:t>
            </w:r>
          </w:p>
        </w:tc>
        <w:tc>
          <w:tcPr>
            <w:tcW w:w="4083" w:type="dxa"/>
          </w:tcPr>
          <w:p w:rsidR="00CE39F4" w:rsidRDefault="008A55BD" w:rsidP="00065807">
            <w:pPr>
              <w:rPr>
                <w:sz w:val="20"/>
                <w:szCs w:val="20"/>
              </w:rPr>
            </w:pPr>
            <w:r>
              <w:rPr>
                <w:sz w:val="20"/>
                <w:szCs w:val="20"/>
              </w:rPr>
              <w:t>Use marketing and Tap Social to give traders confidence in the benefit of later opening.</w:t>
            </w:r>
          </w:p>
        </w:tc>
        <w:tc>
          <w:tcPr>
            <w:tcW w:w="321" w:type="dxa"/>
          </w:tcPr>
          <w:p w:rsidR="00CE39F4" w:rsidRDefault="00CE39F4" w:rsidP="00176E1A">
            <w:pPr>
              <w:rPr>
                <w:sz w:val="20"/>
                <w:szCs w:val="20"/>
              </w:rPr>
            </w:pPr>
          </w:p>
        </w:tc>
        <w:tc>
          <w:tcPr>
            <w:tcW w:w="352" w:type="dxa"/>
          </w:tcPr>
          <w:p w:rsidR="00CE39F4" w:rsidRDefault="00CE39F4" w:rsidP="00176E1A">
            <w:pPr>
              <w:rPr>
                <w:sz w:val="20"/>
                <w:szCs w:val="20"/>
              </w:rPr>
            </w:pPr>
          </w:p>
        </w:tc>
        <w:tc>
          <w:tcPr>
            <w:tcW w:w="352" w:type="dxa"/>
          </w:tcPr>
          <w:p w:rsidR="00CE39F4" w:rsidRDefault="00CE39F4" w:rsidP="00176E1A">
            <w:pPr>
              <w:rPr>
                <w:sz w:val="20"/>
                <w:szCs w:val="20"/>
              </w:rPr>
            </w:pPr>
          </w:p>
        </w:tc>
        <w:tc>
          <w:tcPr>
            <w:tcW w:w="352" w:type="dxa"/>
          </w:tcPr>
          <w:p w:rsidR="00CE39F4" w:rsidRDefault="00CE39F4" w:rsidP="00176E1A">
            <w:pPr>
              <w:rPr>
                <w:sz w:val="20"/>
                <w:szCs w:val="20"/>
              </w:rPr>
            </w:pPr>
          </w:p>
        </w:tc>
        <w:tc>
          <w:tcPr>
            <w:tcW w:w="373" w:type="dxa"/>
          </w:tcPr>
          <w:p w:rsidR="00CE39F4" w:rsidRDefault="00CE39F4" w:rsidP="00176E1A">
            <w:pPr>
              <w:rPr>
                <w:sz w:val="20"/>
                <w:szCs w:val="20"/>
              </w:rPr>
            </w:pPr>
          </w:p>
        </w:tc>
        <w:tc>
          <w:tcPr>
            <w:tcW w:w="361" w:type="dxa"/>
          </w:tcPr>
          <w:p w:rsidR="00CE39F4" w:rsidRDefault="00CE39F4" w:rsidP="00176E1A">
            <w:pPr>
              <w:rPr>
                <w:sz w:val="20"/>
                <w:szCs w:val="20"/>
              </w:rPr>
            </w:pPr>
          </w:p>
        </w:tc>
        <w:tc>
          <w:tcPr>
            <w:tcW w:w="348" w:type="dxa"/>
          </w:tcPr>
          <w:p w:rsidR="00CE39F4" w:rsidRDefault="00CE39F4" w:rsidP="00176E1A">
            <w:pPr>
              <w:rPr>
                <w:sz w:val="20"/>
                <w:szCs w:val="20"/>
              </w:rPr>
            </w:pPr>
          </w:p>
        </w:tc>
      </w:tr>
      <w:tr w:rsidR="00FB1097" w:rsidTr="00176E1A">
        <w:trPr>
          <w:gridAfter w:val="1"/>
          <w:wAfter w:w="36" w:type="dxa"/>
          <w:trHeight w:val="1241"/>
          <w:jc w:val="center"/>
        </w:trPr>
        <w:tc>
          <w:tcPr>
            <w:tcW w:w="1440" w:type="dxa"/>
          </w:tcPr>
          <w:p w:rsidR="00FB1097" w:rsidRDefault="00FB1097" w:rsidP="00176E1A">
            <w:pPr>
              <w:rPr>
                <w:sz w:val="20"/>
                <w:szCs w:val="20"/>
              </w:rPr>
            </w:pPr>
            <w:r>
              <w:rPr>
                <w:sz w:val="20"/>
                <w:szCs w:val="20"/>
              </w:rPr>
              <w:lastRenderedPageBreak/>
              <w:t>5</w:t>
            </w:r>
          </w:p>
        </w:tc>
        <w:tc>
          <w:tcPr>
            <w:tcW w:w="1985" w:type="dxa"/>
          </w:tcPr>
          <w:p w:rsidR="00FB1097" w:rsidRDefault="00FB1097" w:rsidP="00176E1A">
            <w:pPr>
              <w:rPr>
                <w:sz w:val="20"/>
                <w:szCs w:val="20"/>
              </w:rPr>
            </w:pPr>
            <w:r>
              <w:rPr>
                <w:sz w:val="20"/>
                <w:szCs w:val="20"/>
              </w:rPr>
              <w:t>Increase vacant units</w:t>
            </w:r>
          </w:p>
        </w:tc>
        <w:tc>
          <w:tcPr>
            <w:tcW w:w="401" w:type="dxa"/>
          </w:tcPr>
          <w:p w:rsidR="00FB1097" w:rsidRDefault="00A163C9" w:rsidP="00176E1A">
            <w:pPr>
              <w:rPr>
                <w:sz w:val="20"/>
                <w:szCs w:val="20"/>
              </w:rPr>
            </w:pPr>
            <w:r>
              <w:rPr>
                <w:sz w:val="20"/>
                <w:szCs w:val="20"/>
              </w:rPr>
              <w:t>3</w:t>
            </w:r>
          </w:p>
        </w:tc>
        <w:tc>
          <w:tcPr>
            <w:tcW w:w="449" w:type="dxa"/>
          </w:tcPr>
          <w:p w:rsidR="00FB1097" w:rsidRDefault="00A163C9" w:rsidP="00176E1A">
            <w:pPr>
              <w:rPr>
                <w:sz w:val="20"/>
                <w:szCs w:val="20"/>
              </w:rPr>
            </w:pPr>
            <w:r>
              <w:rPr>
                <w:sz w:val="20"/>
                <w:szCs w:val="20"/>
              </w:rPr>
              <w:t>3</w:t>
            </w:r>
          </w:p>
        </w:tc>
        <w:tc>
          <w:tcPr>
            <w:tcW w:w="2251" w:type="dxa"/>
            <w:gridSpan w:val="2"/>
          </w:tcPr>
          <w:p w:rsidR="00FB1097" w:rsidRDefault="00A163C9" w:rsidP="00176E1A">
            <w:pPr>
              <w:rPr>
                <w:sz w:val="20"/>
                <w:szCs w:val="20"/>
              </w:rPr>
            </w:pPr>
            <w:r>
              <w:rPr>
                <w:sz w:val="20"/>
                <w:szCs w:val="20"/>
              </w:rPr>
              <w:t>Reduction of enquiries from new businesses.</w:t>
            </w:r>
          </w:p>
        </w:tc>
        <w:tc>
          <w:tcPr>
            <w:tcW w:w="2569" w:type="dxa"/>
            <w:gridSpan w:val="2"/>
          </w:tcPr>
          <w:p w:rsidR="00FB1097" w:rsidRDefault="00A163C9" w:rsidP="00A163C9">
            <w:pPr>
              <w:rPr>
                <w:sz w:val="20"/>
                <w:szCs w:val="20"/>
              </w:rPr>
            </w:pPr>
            <w:r>
              <w:rPr>
                <w:sz w:val="20"/>
                <w:szCs w:val="20"/>
              </w:rPr>
              <w:t xml:space="preserve">The leasing strategy will enable a letting plan to be established. This will target specific uses to enhance the tenant mix. </w:t>
            </w:r>
          </w:p>
        </w:tc>
        <w:tc>
          <w:tcPr>
            <w:tcW w:w="395" w:type="dxa"/>
          </w:tcPr>
          <w:p w:rsidR="00FB1097" w:rsidRDefault="00A163C9" w:rsidP="00176E1A">
            <w:pPr>
              <w:rPr>
                <w:sz w:val="20"/>
                <w:szCs w:val="20"/>
              </w:rPr>
            </w:pPr>
            <w:r>
              <w:rPr>
                <w:sz w:val="20"/>
                <w:szCs w:val="20"/>
              </w:rPr>
              <w:t>3</w:t>
            </w:r>
          </w:p>
        </w:tc>
        <w:tc>
          <w:tcPr>
            <w:tcW w:w="425" w:type="dxa"/>
          </w:tcPr>
          <w:p w:rsidR="00FB1097" w:rsidRDefault="00A163C9" w:rsidP="00176E1A">
            <w:pPr>
              <w:rPr>
                <w:sz w:val="20"/>
                <w:szCs w:val="20"/>
              </w:rPr>
            </w:pPr>
            <w:r>
              <w:rPr>
                <w:sz w:val="20"/>
                <w:szCs w:val="20"/>
              </w:rPr>
              <w:t>3</w:t>
            </w:r>
          </w:p>
        </w:tc>
        <w:tc>
          <w:tcPr>
            <w:tcW w:w="4083" w:type="dxa"/>
          </w:tcPr>
          <w:p w:rsidR="00FB1097" w:rsidRDefault="00A163C9" w:rsidP="00A163C9">
            <w:pPr>
              <w:rPr>
                <w:sz w:val="20"/>
                <w:szCs w:val="20"/>
              </w:rPr>
            </w:pPr>
            <w:r>
              <w:rPr>
                <w:sz w:val="20"/>
                <w:szCs w:val="20"/>
              </w:rPr>
              <w:t>Through offering a range of lease types the market will be more accessible to new and start-up businesses enabling the use of pop ups and short term occupancies where appropriate.</w:t>
            </w:r>
          </w:p>
        </w:tc>
        <w:tc>
          <w:tcPr>
            <w:tcW w:w="321" w:type="dxa"/>
          </w:tcPr>
          <w:p w:rsidR="00FB1097" w:rsidRDefault="00FB1097" w:rsidP="00176E1A">
            <w:pPr>
              <w:rPr>
                <w:sz w:val="20"/>
                <w:szCs w:val="20"/>
              </w:rPr>
            </w:pPr>
          </w:p>
        </w:tc>
        <w:tc>
          <w:tcPr>
            <w:tcW w:w="352" w:type="dxa"/>
          </w:tcPr>
          <w:p w:rsidR="00FB1097" w:rsidRDefault="00FB1097" w:rsidP="00176E1A">
            <w:pPr>
              <w:rPr>
                <w:sz w:val="20"/>
                <w:szCs w:val="20"/>
              </w:rPr>
            </w:pPr>
          </w:p>
        </w:tc>
        <w:tc>
          <w:tcPr>
            <w:tcW w:w="352" w:type="dxa"/>
          </w:tcPr>
          <w:p w:rsidR="00FB1097" w:rsidRDefault="00FB1097" w:rsidP="00176E1A">
            <w:pPr>
              <w:rPr>
                <w:sz w:val="20"/>
                <w:szCs w:val="20"/>
              </w:rPr>
            </w:pPr>
          </w:p>
        </w:tc>
        <w:tc>
          <w:tcPr>
            <w:tcW w:w="352" w:type="dxa"/>
          </w:tcPr>
          <w:p w:rsidR="00FB1097" w:rsidRDefault="00FB1097" w:rsidP="00176E1A">
            <w:pPr>
              <w:rPr>
                <w:sz w:val="20"/>
                <w:szCs w:val="20"/>
              </w:rPr>
            </w:pPr>
          </w:p>
        </w:tc>
        <w:tc>
          <w:tcPr>
            <w:tcW w:w="373" w:type="dxa"/>
          </w:tcPr>
          <w:p w:rsidR="00FB1097" w:rsidRDefault="00FB1097" w:rsidP="00176E1A">
            <w:pPr>
              <w:rPr>
                <w:sz w:val="20"/>
                <w:szCs w:val="20"/>
              </w:rPr>
            </w:pPr>
          </w:p>
        </w:tc>
        <w:tc>
          <w:tcPr>
            <w:tcW w:w="361" w:type="dxa"/>
          </w:tcPr>
          <w:p w:rsidR="00FB1097" w:rsidRDefault="00FB1097" w:rsidP="00176E1A">
            <w:pPr>
              <w:rPr>
                <w:sz w:val="20"/>
                <w:szCs w:val="20"/>
              </w:rPr>
            </w:pPr>
          </w:p>
        </w:tc>
        <w:tc>
          <w:tcPr>
            <w:tcW w:w="348" w:type="dxa"/>
          </w:tcPr>
          <w:p w:rsidR="00FB1097" w:rsidRDefault="00FB1097" w:rsidP="00176E1A">
            <w:pPr>
              <w:rPr>
                <w:sz w:val="20"/>
                <w:szCs w:val="20"/>
              </w:rPr>
            </w:pPr>
          </w:p>
        </w:tc>
      </w:tr>
      <w:tr w:rsidR="00FB1097" w:rsidTr="00176E1A">
        <w:trPr>
          <w:gridAfter w:val="1"/>
          <w:wAfter w:w="36" w:type="dxa"/>
          <w:trHeight w:val="1241"/>
          <w:jc w:val="center"/>
        </w:trPr>
        <w:tc>
          <w:tcPr>
            <w:tcW w:w="1440" w:type="dxa"/>
          </w:tcPr>
          <w:p w:rsidR="00FB1097" w:rsidRDefault="00FB1097" w:rsidP="00176E1A">
            <w:pPr>
              <w:rPr>
                <w:sz w:val="20"/>
                <w:szCs w:val="20"/>
              </w:rPr>
            </w:pPr>
            <w:r>
              <w:rPr>
                <w:sz w:val="20"/>
                <w:szCs w:val="20"/>
              </w:rPr>
              <w:t>6</w:t>
            </w:r>
          </w:p>
        </w:tc>
        <w:tc>
          <w:tcPr>
            <w:tcW w:w="1985" w:type="dxa"/>
          </w:tcPr>
          <w:p w:rsidR="00FB1097" w:rsidRDefault="00FB1097" w:rsidP="00FB1097">
            <w:pPr>
              <w:rPr>
                <w:sz w:val="20"/>
                <w:szCs w:val="20"/>
              </w:rPr>
            </w:pPr>
            <w:r>
              <w:rPr>
                <w:sz w:val="20"/>
                <w:szCs w:val="20"/>
              </w:rPr>
              <w:t xml:space="preserve">Increase in Tenant arrears </w:t>
            </w:r>
            <w:r w:rsidR="00A163C9">
              <w:rPr>
                <w:sz w:val="20"/>
                <w:szCs w:val="20"/>
              </w:rPr>
              <w:t>and Tenants experiencing difficulty due to the impact of the pandemic</w:t>
            </w:r>
          </w:p>
        </w:tc>
        <w:tc>
          <w:tcPr>
            <w:tcW w:w="401" w:type="dxa"/>
          </w:tcPr>
          <w:p w:rsidR="00FB1097" w:rsidRDefault="00A163C9" w:rsidP="00176E1A">
            <w:pPr>
              <w:rPr>
                <w:sz w:val="20"/>
                <w:szCs w:val="20"/>
              </w:rPr>
            </w:pPr>
            <w:r>
              <w:rPr>
                <w:sz w:val="20"/>
                <w:szCs w:val="20"/>
              </w:rPr>
              <w:t>3</w:t>
            </w:r>
          </w:p>
        </w:tc>
        <w:tc>
          <w:tcPr>
            <w:tcW w:w="449" w:type="dxa"/>
          </w:tcPr>
          <w:p w:rsidR="00FB1097" w:rsidRDefault="00A163C9" w:rsidP="00176E1A">
            <w:pPr>
              <w:rPr>
                <w:sz w:val="20"/>
                <w:szCs w:val="20"/>
              </w:rPr>
            </w:pPr>
            <w:r>
              <w:rPr>
                <w:sz w:val="20"/>
                <w:szCs w:val="20"/>
              </w:rPr>
              <w:t>3</w:t>
            </w:r>
          </w:p>
        </w:tc>
        <w:tc>
          <w:tcPr>
            <w:tcW w:w="2251" w:type="dxa"/>
            <w:gridSpan w:val="2"/>
          </w:tcPr>
          <w:p w:rsidR="00FB1097" w:rsidRDefault="00A163C9" w:rsidP="00176E1A">
            <w:pPr>
              <w:rPr>
                <w:sz w:val="20"/>
                <w:szCs w:val="20"/>
              </w:rPr>
            </w:pPr>
            <w:r>
              <w:rPr>
                <w:sz w:val="20"/>
                <w:szCs w:val="20"/>
              </w:rPr>
              <w:t>Traders have experienced difficulties over the last 12 months with lockdown closures.</w:t>
            </w:r>
          </w:p>
        </w:tc>
        <w:tc>
          <w:tcPr>
            <w:tcW w:w="2569" w:type="dxa"/>
            <w:gridSpan w:val="2"/>
          </w:tcPr>
          <w:p w:rsidR="00FB1097" w:rsidRDefault="00A163C9" w:rsidP="00065807">
            <w:pPr>
              <w:rPr>
                <w:sz w:val="20"/>
                <w:szCs w:val="20"/>
              </w:rPr>
            </w:pPr>
            <w:r>
              <w:rPr>
                <w:sz w:val="20"/>
                <w:szCs w:val="20"/>
              </w:rPr>
              <w:t xml:space="preserve">We will continue to work with traders on an individual basis where they are experiencing difficulties. </w:t>
            </w:r>
          </w:p>
        </w:tc>
        <w:tc>
          <w:tcPr>
            <w:tcW w:w="395" w:type="dxa"/>
          </w:tcPr>
          <w:p w:rsidR="00FB1097" w:rsidRDefault="00A163C9" w:rsidP="00176E1A">
            <w:pPr>
              <w:rPr>
                <w:sz w:val="20"/>
                <w:szCs w:val="20"/>
              </w:rPr>
            </w:pPr>
            <w:r>
              <w:rPr>
                <w:sz w:val="20"/>
                <w:szCs w:val="20"/>
              </w:rPr>
              <w:t>3</w:t>
            </w:r>
          </w:p>
        </w:tc>
        <w:tc>
          <w:tcPr>
            <w:tcW w:w="425" w:type="dxa"/>
          </w:tcPr>
          <w:p w:rsidR="00FB1097" w:rsidRDefault="00A163C9" w:rsidP="00176E1A">
            <w:pPr>
              <w:rPr>
                <w:sz w:val="20"/>
                <w:szCs w:val="20"/>
              </w:rPr>
            </w:pPr>
            <w:r>
              <w:rPr>
                <w:sz w:val="20"/>
                <w:szCs w:val="20"/>
              </w:rPr>
              <w:t>3</w:t>
            </w:r>
          </w:p>
        </w:tc>
        <w:tc>
          <w:tcPr>
            <w:tcW w:w="4083" w:type="dxa"/>
          </w:tcPr>
          <w:p w:rsidR="00FB1097" w:rsidRDefault="00A163C9" w:rsidP="00065807">
            <w:pPr>
              <w:rPr>
                <w:sz w:val="20"/>
                <w:szCs w:val="20"/>
              </w:rPr>
            </w:pPr>
            <w:r>
              <w:rPr>
                <w:sz w:val="20"/>
                <w:szCs w:val="20"/>
              </w:rPr>
              <w:t>There is a marketing campaign on social media and through the website encouraging customers to ‘shop local’. we are also working with Meanwhile Oxford to install temporary uses in any void units to reduce any inactive facias. The intention of each is to increase footfall.</w:t>
            </w:r>
          </w:p>
        </w:tc>
        <w:tc>
          <w:tcPr>
            <w:tcW w:w="321" w:type="dxa"/>
          </w:tcPr>
          <w:p w:rsidR="00FB1097" w:rsidRDefault="00FB1097" w:rsidP="00176E1A">
            <w:pPr>
              <w:rPr>
                <w:sz w:val="20"/>
                <w:szCs w:val="20"/>
              </w:rPr>
            </w:pPr>
          </w:p>
        </w:tc>
        <w:tc>
          <w:tcPr>
            <w:tcW w:w="352" w:type="dxa"/>
          </w:tcPr>
          <w:p w:rsidR="00FB1097" w:rsidRDefault="00FB1097" w:rsidP="00176E1A">
            <w:pPr>
              <w:rPr>
                <w:sz w:val="20"/>
                <w:szCs w:val="20"/>
              </w:rPr>
            </w:pPr>
          </w:p>
        </w:tc>
        <w:tc>
          <w:tcPr>
            <w:tcW w:w="352" w:type="dxa"/>
          </w:tcPr>
          <w:p w:rsidR="00FB1097" w:rsidRDefault="00FB1097" w:rsidP="00176E1A">
            <w:pPr>
              <w:rPr>
                <w:sz w:val="20"/>
                <w:szCs w:val="20"/>
              </w:rPr>
            </w:pPr>
          </w:p>
        </w:tc>
        <w:tc>
          <w:tcPr>
            <w:tcW w:w="352" w:type="dxa"/>
          </w:tcPr>
          <w:p w:rsidR="00FB1097" w:rsidRDefault="00FB1097" w:rsidP="00176E1A">
            <w:pPr>
              <w:rPr>
                <w:sz w:val="20"/>
                <w:szCs w:val="20"/>
              </w:rPr>
            </w:pPr>
          </w:p>
        </w:tc>
        <w:tc>
          <w:tcPr>
            <w:tcW w:w="373" w:type="dxa"/>
          </w:tcPr>
          <w:p w:rsidR="00FB1097" w:rsidRDefault="00FB1097" w:rsidP="00176E1A">
            <w:pPr>
              <w:rPr>
                <w:sz w:val="20"/>
                <w:szCs w:val="20"/>
              </w:rPr>
            </w:pPr>
          </w:p>
        </w:tc>
        <w:tc>
          <w:tcPr>
            <w:tcW w:w="361" w:type="dxa"/>
          </w:tcPr>
          <w:p w:rsidR="00FB1097" w:rsidRDefault="00FB1097" w:rsidP="00176E1A">
            <w:pPr>
              <w:rPr>
                <w:sz w:val="20"/>
                <w:szCs w:val="20"/>
              </w:rPr>
            </w:pPr>
          </w:p>
        </w:tc>
        <w:tc>
          <w:tcPr>
            <w:tcW w:w="348" w:type="dxa"/>
          </w:tcPr>
          <w:p w:rsidR="00FB1097" w:rsidRDefault="00FB1097" w:rsidP="00176E1A">
            <w:pPr>
              <w:rPr>
                <w:sz w:val="20"/>
                <w:szCs w:val="20"/>
              </w:rPr>
            </w:pPr>
          </w:p>
        </w:tc>
      </w:tr>
      <w:tr w:rsidR="00FB1097" w:rsidTr="00176E1A">
        <w:trPr>
          <w:gridAfter w:val="1"/>
          <w:wAfter w:w="36" w:type="dxa"/>
          <w:trHeight w:val="1241"/>
          <w:jc w:val="center"/>
        </w:trPr>
        <w:tc>
          <w:tcPr>
            <w:tcW w:w="1440" w:type="dxa"/>
          </w:tcPr>
          <w:p w:rsidR="00FB1097" w:rsidRDefault="00FB1097" w:rsidP="00176E1A">
            <w:pPr>
              <w:rPr>
                <w:sz w:val="20"/>
                <w:szCs w:val="20"/>
              </w:rPr>
            </w:pPr>
            <w:r>
              <w:rPr>
                <w:sz w:val="20"/>
                <w:szCs w:val="20"/>
              </w:rPr>
              <w:t>7</w:t>
            </w:r>
          </w:p>
        </w:tc>
        <w:tc>
          <w:tcPr>
            <w:tcW w:w="1985" w:type="dxa"/>
          </w:tcPr>
          <w:p w:rsidR="00FB1097" w:rsidRDefault="00FB1097" w:rsidP="00176E1A">
            <w:pPr>
              <w:rPr>
                <w:sz w:val="20"/>
                <w:szCs w:val="20"/>
              </w:rPr>
            </w:pPr>
            <w:r>
              <w:rPr>
                <w:sz w:val="20"/>
                <w:szCs w:val="20"/>
              </w:rPr>
              <w:t>Reduction in footfall due to reduction in tourists and office working</w:t>
            </w:r>
          </w:p>
        </w:tc>
        <w:tc>
          <w:tcPr>
            <w:tcW w:w="401" w:type="dxa"/>
          </w:tcPr>
          <w:p w:rsidR="00FB1097" w:rsidRDefault="00F3201B" w:rsidP="00176E1A">
            <w:pPr>
              <w:rPr>
                <w:sz w:val="20"/>
                <w:szCs w:val="20"/>
              </w:rPr>
            </w:pPr>
            <w:r>
              <w:rPr>
                <w:sz w:val="20"/>
                <w:szCs w:val="20"/>
              </w:rPr>
              <w:t>2</w:t>
            </w:r>
          </w:p>
        </w:tc>
        <w:tc>
          <w:tcPr>
            <w:tcW w:w="449" w:type="dxa"/>
          </w:tcPr>
          <w:p w:rsidR="00FB1097" w:rsidRDefault="00F3201B" w:rsidP="00176E1A">
            <w:pPr>
              <w:rPr>
                <w:sz w:val="20"/>
                <w:szCs w:val="20"/>
              </w:rPr>
            </w:pPr>
            <w:r>
              <w:rPr>
                <w:sz w:val="20"/>
                <w:szCs w:val="20"/>
              </w:rPr>
              <w:t>2</w:t>
            </w:r>
          </w:p>
        </w:tc>
        <w:tc>
          <w:tcPr>
            <w:tcW w:w="2251" w:type="dxa"/>
            <w:gridSpan w:val="2"/>
          </w:tcPr>
          <w:p w:rsidR="00FB1097" w:rsidRDefault="00A163C9" w:rsidP="00176E1A">
            <w:pPr>
              <w:rPr>
                <w:sz w:val="20"/>
                <w:szCs w:val="20"/>
              </w:rPr>
            </w:pPr>
            <w:r>
              <w:rPr>
                <w:sz w:val="20"/>
                <w:szCs w:val="20"/>
              </w:rPr>
              <w:t xml:space="preserve">The pandemic has impacted the city centre as a whole and the return to pre pandemic levels of footfall are likely to take </w:t>
            </w:r>
            <w:r w:rsidR="00F3201B">
              <w:rPr>
                <w:sz w:val="20"/>
                <w:szCs w:val="20"/>
              </w:rPr>
              <w:t>some time.</w:t>
            </w:r>
          </w:p>
        </w:tc>
        <w:tc>
          <w:tcPr>
            <w:tcW w:w="2569" w:type="dxa"/>
            <w:gridSpan w:val="2"/>
          </w:tcPr>
          <w:p w:rsidR="00FB1097" w:rsidRDefault="00F3201B" w:rsidP="00065807">
            <w:pPr>
              <w:rPr>
                <w:sz w:val="20"/>
                <w:szCs w:val="20"/>
              </w:rPr>
            </w:pPr>
            <w:r>
              <w:rPr>
                <w:sz w:val="20"/>
                <w:szCs w:val="20"/>
              </w:rPr>
              <w:t>Introducing new uses to the market and creating a multi-purpose space, linked to the city centre evening economy will attract a new customer demographic increasing footfall and dwell time.</w:t>
            </w:r>
          </w:p>
        </w:tc>
        <w:tc>
          <w:tcPr>
            <w:tcW w:w="395" w:type="dxa"/>
          </w:tcPr>
          <w:p w:rsidR="00FB1097" w:rsidRDefault="00F3201B" w:rsidP="00176E1A">
            <w:pPr>
              <w:rPr>
                <w:sz w:val="20"/>
                <w:szCs w:val="20"/>
              </w:rPr>
            </w:pPr>
            <w:r>
              <w:rPr>
                <w:sz w:val="20"/>
                <w:szCs w:val="20"/>
              </w:rPr>
              <w:t>2</w:t>
            </w:r>
          </w:p>
        </w:tc>
        <w:tc>
          <w:tcPr>
            <w:tcW w:w="425" w:type="dxa"/>
          </w:tcPr>
          <w:p w:rsidR="00FB1097" w:rsidRDefault="00F3201B" w:rsidP="00176E1A">
            <w:pPr>
              <w:rPr>
                <w:sz w:val="20"/>
                <w:szCs w:val="20"/>
              </w:rPr>
            </w:pPr>
            <w:r>
              <w:rPr>
                <w:sz w:val="20"/>
                <w:szCs w:val="20"/>
              </w:rPr>
              <w:t>2</w:t>
            </w:r>
          </w:p>
        </w:tc>
        <w:tc>
          <w:tcPr>
            <w:tcW w:w="4083" w:type="dxa"/>
          </w:tcPr>
          <w:p w:rsidR="00FB1097" w:rsidRDefault="00F3201B" w:rsidP="00065807">
            <w:pPr>
              <w:rPr>
                <w:sz w:val="20"/>
                <w:szCs w:val="20"/>
              </w:rPr>
            </w:pPr>
            <w:r>
              <w:rPr>
                <w:sz w:val="20"/>
                <w:szCs w:val="20"/>
              </w:rPr>
              <w:t xml:space="preserve">The introduction of Tap Social, and their calendar of events will support the ambition to create the multi-purpose space. </w:t>
            </w:r>
          </w:p>
        </w:tc>
        <w:tc>
          <w:tcPr>
            <w:tcW w:w="321" w:type="dxa"/>
          </w:tcPr>
          <w:p w:rsidR="00FB1097" w:rsidRDefault="00FB1097" w:rsidP="00176E1A">
            <w:pPr>
              <w:rPr>
                <w:sz w:val="20"/>
                <w:szCs w:val="20"/>
              </w:rPr>
            </w:pPr>
          </w:p>
        </w:tc>
        <w:tc>
          <w:tcPr>
            <w:tcW w:w="352" w:type="dxa"/>
          </w:tcPr>
          <w:p w:rsidR="00FB1097" w:rsidRDefault="00FB1097" w:rsidP="00176E1A">
            <w:pPr>
              <w:rPr>
                <w:sz w:val="20"/>
                <w:szCs w:val="20"/>
              </w:rPr>
            </w:pPr>
          </w:p>
        </w:tc>
        <w:tc>
          <w:tcPr>
            <w:tcW w:w="352" w:type="dxa"/>
          </w:tcPr>
          <w:p w:rsidR="00FB1097" w:rsidRDefault="00FB1097" w:rsidP="00176E1A">
            <w:pPr>
              <w:rPr>
                <w:sz w:val="20"/>
                <w:szCs w:val="20"/>
              </w:rPr>
            </w:pPr>
          </w:p>
        </w:tc>
        <w:tc>
          <w:tcPr>
            <w:tcW w:w="352" w:type="dxa"/>
          </w:tcPr>
          <w:p w:rsidR="00FB1097" w:rsidRDefault="00FB1097" w:rsidP="00176E1A">
            <w:pPr>
              <w:rPr>
                <w:sz w:val="20"/>
                <w:szCs w:val="20"/>
              </w:rPr>
            </w:pPr>
          </w:p>
        </w:tc>
        <w:tc>
          <w:tcPr>
            <w:tcW w:w="373" w:type="dxa"/>
          </w:tcPr>
          <w:p w:rsidR="00FB1097" w:rsidRDefault="00FB1097" w:rsidP="00176E1A">
            <w:pPr>
              <w:rPr>
                <w:sz w:val="20"/>
                <w:szCs w:val="20"/>
              </w:rPr>
            </w:pPr>
          </w:p>
        </w:tc>
        <w:tc>
          <w:tcPr>
            <w:tcW w:w="361" w:type="dxa"/>
          </w:tcPr>
          <w:p w:rsidR="00FB1097" w:rsidRDefault="00FB1097" w:rsidP="00176E1A">
            <w:pPr>
              <w:rPr>
                <w:sz w:val="20"/>
                <w:szCs w:val="20"/>
              </w:rPr>
            </w:pPr>
          </w:p>
        </w:tc>
        <w:tc>
          <w:tcPr>
            <w:tcW w:w="348" w:type="dxa"/>
          </w:tcPr>
          <w:p w:rsidR="00FB1097" w:rsidRDefault="00FB1097" w:rsidP="00176E1A">
            <w:pPr>
              <w:rPr>
                <w:sz w:val="20"/>
                <w:szCs w:val="20"/>
              </w:rPr>
            </w:pPr>
          </w:p>
        </w:tc>
      </w:tr>
      <w:tr w:rsidR="00FB1097" w:rsidTr="00176E1A">
        <w:trPr>
          <w:gridAfter w:val="1"/>
          <w:wAfter w:w="36" w:type="dxa"/>
          <w:trHeight w:val="1241"/>
          <w:jc w:val="center"/>
        </w:trPr>
        <w:tc>
          <w:tcPr>
            <w:tcW w:w="1440" w:type="dxa"/>
          </w:tcPr>
          <w:p w:rsidR="00FB1097" w:rsidRDefault="00FB1097" w:rsidP="00176E1A">
            <w:pPr>
              <w:rPr>
                <w:sz w:val="20"/>
                <w:szCs w:val="20"/>
              </w:rPr>
            </w:pPr>
            <w:r>
              <w:rPr>
                <w:sz w:val="20"/>
                <w:szCs w:val="20"/>
              </w:rPr>
              <w:t>8</w:t>
            </w:r>
          </w:p>
        </w:tc>
        <w:tc>
          <w:tcPr>
            <w:tcW w:w="1985" w:type="dxa"/>
          </w:tcPr>
          <w:p w:rsidR="00FB1097" w:rsidRDefault="00FB1097" w:rsidP="00176E1A">
            <w:pPr>
              <w:rPr>
                <w:sz w:val="20"/>
                <w:szCs w:val="20"/>
              </w:rPr>
            </w:pPr>
            <w:r>
              <w:rPr>
                <w:sz w:val="20"/>
                <w:szCs w:val="20"/>
              </w:rPr>
              <w:t>Unexpected/unplanned maintenance costs</w:t>
            </w:r>
          </w:p>
        </w:tc>
        <w:tc>
          <w:tcPr>
            <w:tcW w:w="401" w:type="dxa"/>
          </w:tcPr>
          <w:p w:rsidR="00FB1097" w:rsidRDefault="00F3201B" w:rsidP="00176E1A">
            <w:pPr>
              <w:rPr>
                <w:sz w:val="20"/>
                <w:szCs w:val="20"/>
              </w:rPr>
            </w:pPr>
            <w:r>
              <w:rPr>
                <w:sz w:val="20"/>
                <w:szCs w:val="20"/>
              </w:rPr>
              <w:t>4</w:t>
            </w:r>
          </w:p>
        </w:tc>
        <w:tc>
          <w:tcPr>
            <w:tcW w:w="449" w:type="dxa"/>
          </w:tcPr>
          <w:p w:rsidR="00FB1097" w:rsidRDefault="00F3201B" w:rsidP="00176E1A">
            <w:pPr>
              <w:rPr>
                <w:sz w:val="20"/>
                <w:szCs w:val="20"/>
              </w:rPr>
            </w:pPr>
            <w:r>
              <w:rPr>
                <w:sz w:val="20"/>
                <w:szCs w:val="20"/>
              </w:rPr>
              <w:t>3</w:t>
            </w:r>
          </w:p>
        </w:tc>
        <w:tc>
          <w:tcPr>
            <w:tcW w:w="2251" w:type="dxa"/>
            <w:gridSpan w:val="2"/>
          </w:tcPr>
          <w:p w:rsidR="00FB1097" w:rsidRDefault="00F3201B" w:rsidP="00176E1A">
            <w:pPr>
              <w:rPr>
                <w:sz w:val="20"/>
                <w:szCs w:val="20"/>
              </w:rPr>
            </w:pPr>
            <w:r>
              <w:rPr>
                <w:sz w:val="20"/>
                <w:szCs w:val="20"/>
              </w:rPr>
              <w:t>The Covered Market is an aging asset which requires ongoing investment and maintenance.</w:t>
            </w:r>
          </w:p>
        </w:tc>
        <w:tc>
          <w:tcPr>
            <w:tcW w:w="2569" w:type="dxa"/>
            <w:gridSpan w:val="2"/>
          </w:tcPr>
          <w:p w:rsidR="00FB1097" w:rsidRDefault="00F3201B" w:rsidP="00065807">
            <w:pPr>
              <w:rPr>
                <w:sz w:val="20"/>
                <w:szCs w:val="20"/>
              </w:rPr>
            </w:pPr>
            <w:r>
              <w:rPr>
                <w:sz w:val="20"/>
                <w:szCs w:val="20"/>
              </w:rPr>
              <w:t>Condition surveys are being undertaken, this will enable a</w:t>
            </w:r>
            <w:r w:rsidR="002E0E32">
              <w:rPr>
                <w:sz w:val="20"/>
                <w:szCs w:val="20"/>
              </w:rPr>
              <w:t xml:space="preserve"> more informed</w:t>
            </w:r>
            <w:r>
              <w:rPr>
                <w:sz w:val="20"/>
                <w:szCs w:val="20"/>
              </w:rPr>
              <w:t xml:space="preserve"> planned preventative </w:t>
            </w:r>
            <w:r w:rsidR="00CF0E35">
              <w:rPr>
                <w:sz w:val="20"/>
                <w:szCs w:val="20"/>
              </w:rPr>
              <w:t>management plan (PPM) to be established</w:t>
            </w:r>
          </w:p>
        </w:tc>
        <w:tc>
          <w:tcPr>
            <w:tcW w:w="395" w:type="dxa"/>
          </w:tcPr>
          <w:p w:rsidR="00FB1097" w:rsidRDefault="00CF0E35" w:rsidP="00176E1A">
            <w:pPr>
              <w:rPr>
                <w:sz w:val="20"/>
                <w:szCs w:val="20"/>
              </w:rPr>
            </w:pPr>
            <w:r>
              <w:rPr>
                <w:sz w:val="20"/>
                <w:szCs w:val="20"/>
              </w:rPr>
              <w:t>4</w:t>
            </w:r>
          </w:p>
        </w:tc>
        <w:tc>
          <w:tcPr>
            <w:tcW w:w="425" w:type="dxa"/>
          </w:tcPr>
          <w:p w:rsidR="00FB1097" w:rsidRDefault="00CF0E35" w:rsidP="00176E1A">
            <w:pPr>
              <w:rPr>
                <w:sz w:val="20"/>
                <w:szCs w:val="20"/>
              </w:rPr>
            </w:pPr>
            <w:r>
              <w:rPr>
                <w:sz w:val="20"/>
                <w:szCs w:val="20"/>
              </w:rPr>
              <w:t>3</w:t>
            </w:r>
          </w:p>
        </w:tc>
        <w:tc>
          <w:tcPr>
            <w:tcW w:w="4083" w:type="dxa"/>
          </w:tcPr>
          <w:p w:rsidR="00FB1097" w:rsidRDefault="00CF0E35" w:rsidP="00065807">
            <w:pPr>
              <w:rPr>
                <w:sz w:val="20"/>
                <w:szCs w:val="20"/>
              </w:rPr>
            </w:pPr>
            <w:r>
              <w:rPr>
                <w:sz w:val="20"/>
                <w:szCs w:val="20"/>
              </w:rPr>
              <w:t>The condition survey and subsequent PPM will give the Council the ability to reduce unplanned maintenance as much as possible.</w:t>
            </w:r>
            <w:r w:rsidR="002E0E32">
              <w:rPr>
                <w:sz w:val="20"/>
                <w:szCs w:val="20"/>
              </w:rPr>
              <w:t xml:space="preserve"> There is a programme of investment works being undertaken in relation to the roof replacement and internal redecoration.</w:t>
            </w:r>
            <w:r>
              <w:rPr>
                <w:sz w:val="20"/>
                <w:szCs w:val="20"/>
              </w:rPr>
              <w:t xml:space="preserve"> However due to the age of the asset this cannot be completely mitigated.</w:t>
            </w:r>
          </w:p>
        </w:tc>
        <w:tc>
          <w:tcPr>
            <w:tcW w:w="321" w:type="dxa"/>
          </w:tcPr>
          <w:p w:rsidR="00FB1097" w:rsidRDefault="00FB1097" w:rsidP="00176E1A">
            <w:pPr>
              <w:rPr>
                <w:sz w:val="20"/>
                <w:szCs w:val="20"/>
              </w:rPr>
            </w:pPr>
          </w:p>
        </w:tc>
        <w:tc>
          <w:tcPr>
            <w:tcW w:w="352" w:type="dxa"/>
          </w:tcPr>
          <w:p w:rsidR="00FB1097" w:rsidRDefault="00FB1097" w:rsidP="00176E1A">
            <w:pPr>
              <w:rPr>
                <w:sz w:val="20"/>
                <w:szCs w:val="20"/>
              </w:rPr>
            </w:pPr>
          </w:p>
        </w:tc>
        <w:tc>
          <w:tcPr>
            <w:tcW w:w="352" w:type="dxa"/>
          </w:tcPr>
          <w:p w:rsidR="00FB1097" w:rsidRDefault="00FB1097" w:rsidP="00176E1A">
            <w:pPr>
              <w:rPr>
                <w:sz w:val="20"/>
                <w:szCs w:val="20"/>
              </w:rPr>
            </w:pPr>
          </w:p>
        </w:tc>
        <w:tc>
          <w:tcPr>
            <w:tcW w:w="352" w:type="dxa"/>
          </w:tcPr>
          <w:p w:rsidR="00FB1097" w:rsidRDefault="00FB1097" w:rsidP="00176E1A">
            <w:pPr>
              <w:rPr>
                <w:sz w:val="20"/>
                <w:szCs w:val="20"/>
              </w:rPr>
            </w:pPr>
          </w:p>
        </w:tc>
        <w:tc>
          <w:tcPr>
            <w:tcW w:w="373" w:type="dxa"/>
          </w:tcPr>
          <w:p w:rsidR="00FB1097" w:rsidRDefault="00FB1097" w:rsidP="00176E1A">
            <w:pPr>
              <w:rPr>
                <w:sz w:val="20"/>
                <w:szCs w:val="20"/>
              </w:rPr>
            </w:pPr>
          </w:p>
        </w:tc>
        <w:tc>
          <w:tcPr>
            <w:tcW w:w="361" w:type="dxa"/>
          </w:tcPr>
          <w:p w:rsidR="00FB1097" w:rsidRDefault="00FB1097" w:rsidP="00176E1A">
            <w:pPr>
              <w:rPr>
                <w:sz w:val="20"/>
                <w:szCs w:val="20"/>
              </w:rPr>
            </w:pPr>
          </w:p>
        </w:tc>
        <w:tc>
          <w:tcPr>
            <w:tcW w:w="348" w:type="dxa"/>
          </w:tcPr>
          <w:p w:rsidR="00FB1097" w:rsidRDefault="00FB1097" w:rsidP="00176E1A">
            <w:pPr>
              <w:rPr>
                <w:sz w:val="20"/>
                <w:szCs w:val="20"/>
              </w:rPr>
            </w:pPr>
          </w:p>
        </w:tc>
      </w:tr>
      <w:tr w:rsidR="00FB1097" w:rsidTr="00176E1A">
        <w:trPr>
          <w:gridAfter w:val="1"/>
          <w:wAfter w:w="36" w:type="dxa"/>
          <w:trHeight w:val="1241"/>
          <w:jc w:val="center"/>
        </w:trPr>
        <w:tc>
          <w:tcPr>
            <w:tcW w:w="1440" w:type="dxa"/>
          </w:tcPr>
          <w:p w:rsidR="00FB1097" w:rsidRDefault="00FB1097" w:rsidP="00176E1A">
            <w:pPr>
              <w:rPr>
                <w:sz w:val="20"/>
                <w:szCs w:val="20"/>
              </w:rPr>
            </w:pPr>
            <w:r>
              <w:rPr>
                <w:sz w:val="20"/>
                <w:szCs w:val="20"/>
              </w:rPr>
              <w:t>9</w:t>
            </w:r>
          </w:p>
        </w:tc>
        <w:tc>
          <w:tcPr>
            <w:tcW w:w="1985" w:type="dxa"/>
          </w:tcPr>
          <w:p w:rsidR="00FB1097" w:rsidRDefault="00FB1097" w:rsidP="00176E1A">
            <w:pPr>
              <w:rPr>
                <w:sz w:val="20"/>
                <w:szCs w:val="20"/>
              </w:rPr>
            </w:pPr>
            <w:r>
              <w:rPr>
                <w:sz w:val="20"/>
                <w:szCs w:val="20"/>
              </w:rPr>
              <w:t>Trader opposition to the extended opening hours and introduction of bar use and events.</w:t>
            </w:r>
          </w:p>
        </w:tc>
        <w:tc>
          <w:tcPr>
            <w:tcW w:w="401" w:type="dxa"/>
          </w:tcPr>
          <w:p w:rsidR="00FB1097" w:rsidRDefault="00CF0E35" w:rsidP="00176E1A">
            <w:pPr>
              <w:rPr>
                <w:sz w:val="20"/>
                <w:szCs w:val="20"/>
              </w:rPr>
            </w:pPr>
            <w:r>
              <w:rPr>
                <w:sz w:val="20"/>
                <w:szCs w:val="20"/>
              </w:rPr>
              <w:t>3</w:t>
            </w:r>
          </w:p>
        </w:tc>
        <w:tc>
          <w:tcPr>
            <w:tcW w:w="449" w:type="dxa"/>
          </w:tcPr>
          <w:p w:rsidR="00FB1097" w:rsidRDefault="00CF0E35" w:rsidP="00176E1A">
            <w:pPr>
              <w:rPr>
                <w:sz w:val="20"/>
                <w:szCs w:val="20"/>
              </w:rPr>
            </w:pPr>
            <w:r>
              <w:rPr>
                <w:sz w:val="20"/>
                <w:szCs w:val="20"/>
              </w:rPr>
              <w:t>3</w:t>
            </w:r>
          </w:p>
        </w:tc>
        <w:tc>
          <w:tcPr>
            <w:tcW w:w="2251" w:type="dxa"/>
            <w:gridSpan w:val="2"/>
          </w:tcPr>
          <w:p w:rsidR="00FB1097" w:rsidRDefault="00CF0E35" w:rsidP="00176E1A">
            <w:pPr>
              <w:rPr>
                <w:sz w:val="20"/>
                <w:szCs w:val="20"/>
              </w:rPr>
            </w:pPr>
            <w:r>
              <w:rPr>
                <w:sz w:val="20"/>
                <w:szCs w:val="20"/>
              </w:rPr>
              <w:t>The extension of opening hours is an opportunity for some traders but a concern for others particularly in relation to security.</w:t>
            </w:r>
          </w:p>
        </w:tc>
        <w:tc>
          <w:tcPr>
            <w:tcW w:w="2569" w:type="dxa"/>
            <w:gridSpan w:val="2"/>
          </w:tcPr>
          <w:p w:rsidR="00FB1097" w:rsidRDefault="00CF0E35" w:rsidP="00065807">
            <w:pPr>
              <w:rPr>
                <w:sz w:val="20"/>
                <w:szCs w:val="20"/>
              </w:rPr>
            </w:pPr>
            <w:r>
              <w:rPr>
                <w:sz w:val="20"/>
                <w:szCs w:val="20"/>
              </w:rPr>
              <w:t xml:space="preserve">A draft security strategy has been issued to traders for comment. </w:t>
            </w:r>
          </w:p>
        </w:tc>
        <w:tc>
          <w:tcPr>
            <w:tcW w:w="395" w:type="dxa"/>
          </w:tcPr>
          <w:p w:rsidR="00FB1097" w:rsidRDefault="00CF0E35" w:rsidP="00176E1A">
            <w:pPr>
              <w:rPr>
                <w:sz w:val="20"/>
                <w:szCs w:val="20"/>
              </w:rPr>
            </w:pPr>
            <w:r>
              <w:rPr>
                <w:sz w:val="20"/>
                <w:szCs w:val="20"/>
              </w:rPr>
              <w:t>3</w:t>
            </w:r>
          </w:p>
        </w:tc>
        <w:tc>
          <w:tcPr>
            <w:tcW w:w="425" w:type="dxa"/>
          </w:tcPr>
          <w:p w:rsidR="00FB1097" w:rsidRDefault="00CF0E35" w:rsidP="00176E1A">
            <w:pPr>
              <w:rPr>
                <w:sz w:val="20"/>
                <w:szCs w:val="20"/>
              </w:rPr>
            </w:pPr>
            <w:r>
              <w:rPr>
                <w:sz w:val="20"/>
                <w:szCs w:val="20"/>
              </w:rPr>
              <w:t>3</w:t>
            </w:r>
          </w:p>
        </w:tc>
        <w:tc>
          <w:tcPr>
            <w:tcW w:w="4083" w:type="dxa"/>
          </w:tcPr>
          <w:p w:rsidR="00FB1097" w:rsidRDefault="00CF0E35" w:rsidP="00065807">
            <w:pPr>
              <w:rPr>
                <w:sz w:val="20"/>
                <w:szCs w:val="20"/>
              </w:rPr>
            </w:pPr>
            <w:r>
              <w:rPr>
                <w:sz w:val="20"/>
                <w:szCs w:val="20"/>
              </w:rPr>
              <w:t>The security strategy incorporates the installation of CCTV, security staff and access through the market to reduce access for the public to areas which are unlikely to open extended hours.</w:t>
            </w:r>
          </w:p>
        </w:tc>
        <w:tc>
          <w:tcPr>
            <w:tcW w:w="321" w:type="dxa"/>
          </w:tcPr>
          <w:p w:rsidR="00FB1097" w:rsidRDefault="00FB1097" w:rsidP="00176E1A">
            <w:pPr>
              <w:rPr>
                <w:sz w:val="20"/>
                <w:szCs w:val="20"/>
              </w:rPr>
            </w:pPr>
          </w:p>
        </w:tc>
        <w:tc>
          <w:tcPr>
            <w:tcW w:w="352" w:type="dxa"/>
          </w:tcPr>
          <w:p w:rsidR="00FB1097" w:rsidRDefault="00FB1097" w:rsidP="00176E1A">
            <w:pPr>
              <w:rPr>
                <w:sz w:val="20"/>
                <w:szCs w:val="20"/>
              </w:rPr>
            </w:pPr>
          </w:p>
        </w:tc>
        <w:tc>
          <w:tcPr>
            <w:tcW w:w="352" w:type="dxa"/>
          </w:tcPr>
          <w:p w:rsidR="00FB1097" w:rsidRDefault="00FB1097" w:rsidP="00176E1A">
            <w:pPr>
              <w:rPr>
                <w:sz w:val="20"/>
                <w:szCs w:val="20"/>
              </w:rPr>
            </w:pPr>
          </w:p>
        </w:tc>
        <w:tc>
          <w:tcPr>
            <w:tcW w:w="352" w:type="dxa"/>
          </w:tcPr>
          <w:p w:rsidR="00FB1097" w:rsidRDefault="00FB1097" w:rsidP="00176E1A">
            <w:pPr>
              <w:rPr>
                <w:sz w:val="20"/>
                <w:szCs w:val="20"/>
              </w:rPr>
            </w:pPr>
          </w:p>
        </w:tc>
        <w:tc>
          <w:tcPr>
            <w:tcW w:w="373" w:type="dxa"/>
          </w:tcPr>
          <w:p w:rsidR="00FB1097" w:rsidRDefault="00FB1097" w:rsidP="00176E1A">
            <w:pPr>
              <w:rPr>
                <w:sz w:val="20"/>
                <w:szCs w:val="20"/>
              </w:rPr>
            </w:pPr>
          </w:p>
        </w:tc>
        <w:tc>
          <w:tcPr>
            <w:tcW w:w="361" w:type="dxa"/>
          </w:tcPr>
          <w:p w:rsidR="00FB1097" w:rsidRDefault="00FB1097" w:rsidP="00176E1A">
            <w:pPr>
              <w:rPr>
                <w:sz w:val="20"/>
                <w:szCs w:val="20"/>
              </w:rPr>
            </w:pPr>
          </w:p>
        </w:tc>
        <w:tc>
          <w:tcPr>
            <w:tcW w:w="348" w:type="dxa"/>
          </w:tcPr>
          <w:p w:rsidR="00FB1097" w:rsidRDefault="00FB1097" w:rsidP="00176E1A">
            <w:pPr>
              <w:rPr>
                <w:sz w:val="20"/>
                <w:szCs w:val="20"/>
              </w:rPr>
            </w:pPr>
          </w:p>
        </w:tc>
      </w:tr>
    </w:tbl>
    <w:p w:rsidR="008A22C6" w:rsidRPr="002F05F3" w:rsidRDefault="008A22C6" w:rsidP="00B34478">
      <w:pPr>
        <w:rPr>
          <w:color w:val="FF0000"/>
        </w:rPr>
      </w:pPr>
    </w:p>
    <w:sectPr w:rsidR="008A22C6" w:rsidRPr="002F05F3" w:rsidSect="0014195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695" w:rsidRDefault="002E3695" w:rsidP="002E3695">
      <w:r>
        <w:separator/>
      </w:r>
    </w:p>
  </w:endnote>
  <w:endnote w:type="continuationSeparator" w:id="0">
    <w:p w:rsidR="002E3695" w:rsidRDefault="002E3695" w:rsidP="002E3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695" w:rsidRDefault="002E3695" w:rsidP="002E3695">
      <w:r>
        <w:separator/>
      </w:r>
    </w:p>
  </w:footnote>
  <w:footnote w:type="continuationSeparator" w:id="0">
    <w:p w:rsidR="002E3695" w:rsidRDefault="002E3695" w:rsidP="002E36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23D31"/>
    <w:multiLevelType w:val="hybridMultilevel"/>
    <w:tmpl w:val="9796FE26"/>
    <w:lvl w:ilvl="0" w:tplc="08090001">
      <w:start w:val="1"/>
      <w:numFmt w:val="bullet"/>
      <w:lvlText w:val=""/>
      <w:lvlJc w:val="left"/>
      <w:pPr>
        <w:ind w:left="360" w:hanging="360"/>
      </w:pPr>
      <w:rPr>
        <w:rFonts w:ascii="Symbol" w:hAnsi="Symbol" w:hint="default"/>
      </w:rPr>
    </w:lvl>
    <w:lvl w:ilvl="1" w:tplc="0756F12A">
      <w:numFmt w:val="bullet"/>
      <w:lvlText w:val="-"/>
      <w:lvlJc w:val="left"/>
      <w:pPr>
        <w:ind w:left="1080" w:hanging="360"/>
      </w:pPr>
      <w:rPr>
        <w:rFonts w:ascii="Arial Narrow" w:eastAsia="Times New Roman" w:hAnsi="Arial Narrow"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C74AD3"/>
    <w:multiLevelType w:val="multilevel"/>
    <w:tmpl w:val="7664441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3797558E"/>
    <w:multiLevelType w:val="hybridMultilevel"/>
    <w:tmpl w:val="6E2E3324"/>
    <w:lvl w:ilvl="0" w:tplc="0809000F">
      <w:start w:val="1"/>
      <w:numFmt w:val="decimal"/>
      <w:lvlText w:val="%1."/>
      <w:lvlJc w:val="left"/>
      <w:pPr>
        <w:ind w:left="644"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6B4F03"/>
    <w:multiLevelType w:val="hybridMultilevel"/>
    <w:tmpl w:val="BCCC71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52D09CD"/>
    <w:multiLevelType w:val="hybridMultilevel"/>
    <w:tmpl w:val="0C28C9D8"/>
    <w:lvl w:ilvl="0" w:tplc="DEF864DE">
      <w:numFmt w:val="bullet"/>
      <w:lvlText w:val="-"/>
      <w:lvlJc w:val="left"/>
      <w:pPr>
        <w:ind w:left="720"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135"/>
    <w:rsid w:val="00065807"/>
    <w:rsid w:val="000B4310"/>
    <w:rsid w:val="00101B93"/>
    <w:rsid w:val="00141958"/>
    <w:rsid w:val="002E0E32"/>
    <w:rsid w:val="002E3695"/>
    <w:rsid w:val="002F05F3"/>
    <w:rsid w:val="00314EE7"/>
    <w:rsid w:val="004000D7"/>
    <w:rsid w:val="00403471"/>
    <w:rsid w:val="00504E43"/>
    <w:rsid w:val="00515F04"/>
    <w:rsid w:val="00565ABD"/>
    <w:rsid w:val="00716135"/>
    <w:rsid w:val="00771556"/>
    <w:rsid w:val="007908F4"/>
    <w:rsid w:val="008A22C6"/>
    <w:rsid w:val="008A55BD"/>
    <w:rsid w:val="00910497"/>
    <w:rsid w:val="00935DF8"/>
    <w:rsid w:val="00A163C9"/>
    <w:rsid w:val="00B34478"/>
    <w:rsid w:val="00C07F80"/>
    <w:rsid w:val="00CE39F4"/>
    <w:rsid w:val="00CF0E35"/>
    <w:rsid w:val="00E526C9"/>
    <w:rsid w:val="00EF5D1D"/>
    <w:rsid w:val="00F3201B"/>
    <w:rsid w:val="00FB1097"/>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D7D0E6-3BC8-4C56-AB19-001EDB79C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135"/>
    <w:rPr>
      <w:rFonts w:eastAsia="Times New Roman" w:cs="Times New Roman"/>
    </w:rPr>
  </w:style>
  <w:style w:type="paragraph" w:styleId="Heading1">
    <w:name w:val="heading 1"/>
    <w:basedOn w:val="Normal"/>
    <w:next w:val="Normal"/>
    <w:link w:val="Heading1Char"/>
    <w:qFormat/>
    <w:rsid w:val="00716135"/>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6135"/>
    <w:rPr>
      <w:rFonts w:eastAsia="Times New Roman" w:cs="Times New Roman"/>
      <w:b/>
      <w:bCs/>
    </w:rPr>
  </w:style>
  <w:style w:type="paragraph" w:styleId="ListParagraph">
    <w:name w:val="List Paragraph"/>
    <w:basedOn w:val="Normal"/>
    <w:uiPriority w:val="34"/>
    <w:qFormat/>
    <w:rsid w:val="00716135"/>
    <w:pPr>
      <w:ind w:left="720"/>
    </w:pPr>
  </w:style>
  <w:style w:type="paragraph" w:styleId="BalloonText">
    <w:name w:val="Balloon Text"/>
    <w:basedOn w:val="Normal"/>
    <w:link w:val="BalloonTextChar"/>
    <w:uiPriority w:val="99"/>
    <w:semiHidden/>
    <w:unhideWhenUsed/>
    <w:rsid w:val="00716135"/>
    <w:rPr>
      <w:rFonts w:ascii="Tahoma" w:hAnsi="Tahoma" w:cs="Tahoma"/>
      <w:sz w:val="16"/>
      <w:szCs w:val="16"/>
    </w:rPr>
  </w:style>
  <w:style w:type="character" w:customStyle="1" w:styleId="BalloonTextChar">
    <w:name w:val="Balloon Text Char"/>
    <w:basedOn w:val="DefaultParagraphFont"/>
    <w:link w:val="BalloonText"/>
    <w:uiPriority w:val="99"/>
    <w:semiHidden/>
    <w:rsid w:val="00716135"/>
    <w:rPr>
      <w:rFonts w:ascii="Tahoma" w:eastAsia="Times New Roman" w:hAnsi="Tahoma" w:cs="Tahoma"/>
      <w:sz w:val="16"/>
      <w:szCs w:val="16"/>
    </w:rPr>
  </w:style>
  <w:style w:type="paragraph" w:styleId="Header">
    <w:name w:val="header"/>
    <w:basedOn w:val="Normal"/>
    <w:link w:val="HeaderChar"/>
    <w:uiPriority w:val="99"/>
    <w:unhideWhenUsed/>
    <w:rsid w:val="002E3695"/>
    <w:pPr>
      <w:tabs>
        <w:tab w:val="center" w:pos="4513"/>
        <w:tab w:val="right" w:pos="9026"/>
      </w:tabs>
    </w:pPr>
  </w:style>
  <w:style w:type="character" w:customStyle="1" w:styleId="HeaderChar">
    <w:name w:val="Header Char"/>
    <w:basedOn w:val="DefaultParagraphFont"/>
    <w:link w:val="Header"/>
    <w:uiPriority w:val="99"/>
    <w:rsid w:val="002E3695"/>
    <w:rPr>
      <w:rFonts w:eastAsia="Times New Roman" w:cs="Times New Roman"/>
    </w:rPr>
  </w:style>
  <w:style w:type="paragraph" w:styleId="Footer">
    <w:name w:val="footer"/>
    <w:basedOn w:val="Normal"/>
    <w:link w:val="FooterChar"/>
    <w:uiPriority w:val="99"/>
    <w:unhideWhenUsed/>
    <w:rsid w:val="002E3695"/>
    <w:pPr>
      <w:tabs>
        <w:tab w:val="center" w:pos="4513"/>
        <w:tab w:val="right" w:pos="9026"/>
      </w:tabs>
    </w:pPr>
  </w:style>
  <w:style w:type="character" w:customStyle="1" w:styleId="FooterChar">
    <w:name w:val="Footer Char"/>
    <w:basedOn w:val="DefaultParagraphFont"/>
    <w:link w:val="Footer"/>
    <w:uiPriority w:val="99"/>
    <w:rsid w:val="002E3695"/>
    <w:rPr>
      <w:rFonts w:eastAsia="Times New Roman" w:cs="Times New Roman"/>
    </w:rPr>
  </w:style>
  <w:style w:type="character" w:styleId="CommentReference">
    <w:name w:val="annotation reference"/>
    <w:basedOn w:val="DefaultParagraphFont"/>
    <w:uiPriority w:val="99"/>
    <w:semiHidden/>
    <w:unhideWhenUsed/>
    <w:rsid w:val="00FB1097"/>
    <w:rPr>
      <w:sz w:val="16"/>
      <w:szCs w:val="16"/>
    </w:rPr>
  </w:style>
  <w:style w:type="paragraph" w:styleId="CommentText">
    <w:name w:val="annotation text"/>
    <w:basedOn w:val="Normal"/>
    <w:link w:val="CommentTextChar"/>
    <w:uiPriority w:val="99"/>
    <w:semiHidden/>
    <w:unhideWhenUsed/>
    <w:rsid w:val="00FB1097"/>
    <w:rPr>
      <w:sz w:val="20"/>
      <w:szCs w:val="20"/>
    </w:rPr>
  </w:style>
  <w:style w:type="character" w:customStyle="1" w:styleId="CommentTextChar">
    <w:name w:val="Comment Text Char"/>
    <w:basedOn w:val="DefaultParagraphFont"/>
    <w:link w:val="CommentText"/>
    <w:uiPriority w:val="99"/>
    <w:semiHidden/>
    <w:rsid w:val="00FB1097"/>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B1097"/>
    <w:rPr>
      <w:b/>
      <w:bCs/>
    </w:rPr>
  </w:style>
  <w:style w:type="character" w:customStyle="1" w:styleId="CommentSubjectChar">
    <w:name w:val="Comment Subject Char"/>
    <w:basedOn w:val="CommentTextChar"/>
    <w:link w:val="CommentSubject"/>
    <w:uiPriority w:val="99"/>
    <w:semiHidden/>
    <w:rsid w:val="00FB1097"/>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5E505-2FC5-42D6-B81C-43EBD0492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B75E0A03</Template>
  <TotalTime>38</TotalTime>
  <Pages>2</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Lois.Stock</dc:creator>
  <cp:lastModifiedBy>MITCHELL John</cp:lastModifiedBy>
  <cp:revision>5</cp:revision>
  <cp:lastPrinted>2015-03-16T16:27:00Z</cp:lastPrinted>
  <dcterms:created xsi:type="dcterms:W3CDTF">2021-04-21T15:42:00Z</dcterms:created>
  <dcterms:modified xsi:type="dcterms:W3CDTF">2021-05-21T14:23:00Z</dcterms:modified>
</cp:coreProperties>
</file>